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2018</w:t>
      </w:r>
      <w:r>
        <w:rPr>
          <w:rFonts w:hint="eastAsia"/>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rPr>
          <w:rFonts w:ascii="黑体" w:hAnsi="黑体" w:eastAsia="黑体"/>
          <w:b/>
          <w:sz w:val="72"/>
          <w:szCs w:val="72"/>
        </w:rPr>
      </w:pPr>
    </w:p>
    <w:p>
      <w:pPr>
        <w:widowControl/>
        <w:jc w:val="center"/>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b/>
          <w:sz w:val="44"/>
          <w:szCs w:val="44"/>
        </w:rPr>
        <w:t>霸州市安全生产监督管理局</w:t>
      </w:r>
    </w:p>
    <w:p>
      <w:pPr>
        <w:widowControl/>
        <w:spacing w:after="0" w:line="600" w:lineRule="exact"/>
        <w:jc w:val="center"/>
        <w:rPr>
          <w:rFonts w:ascii="黑体" w:eastAsia="黑体"/>
          <w:sz w:val="48"/>
          <w:szCs w:val="48"/>
        </w:rPr>
      </w:pP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Times New Roman"/>
          <w:sz w:val="24"/>
          <w:szCs w:val="32"/>
        </w:rPr>
      </w:pPr>
      <w:r>
        <w:rPr>
          <w:rFonts w:hint="eastAsia" w:eastAsia="黑体"/>
          <w:sz w:val="32"/>
          <w:szCs w:val="32"/>
        </w:rPr>
        <w:t>第一部分</w:t>
      </w:r>
      <w:r>
        <w:rPr>
          <w:rFonts w:eastAsia="黑体"/>
          <w:sz w:val="32"/>
          <w:szCs w:val="32"/>
        </w:rPr>
        <w:t xml:space="preserve"> </w:t>
      </w:r>
      <w:r>
        <w:rPr>
          <w:rFonts w:hint="eastAsia" w:eastAsia="黑体"/>
          <w:sz w:val="32"/>
          <w:szCs w:val="32"/>
        </w:rPr>
        <w:t>霸州市安全生产监督管理局部门概况</w:t>
      </w:r>
    </w:p>
    <w:p>
      <w:pPr>
        <w:widowControl/>
        <w:spacing w:line="580" w:lineRule="exact"/>
        <w:ind w:firstLine="1273" w:firstLineChars="398"/>
        <w:rPr>
          <w:rFonts w:eastAsia="Times New Roman"/>
          <w:sz w:val="32"/>
          <w:szCs w:val="32"/>
        </w:rPr>
      </w:pPr>
      <w:r>
        <w:rPr>
          <w:rFonts w:hint="eastAsia" w:ascii="宋体" w:hAnsi="宋体" w:cs="宋体"/>
          <w:sz w:val="32"/>
          <w:szCs w:val="32"/>
        </w:rPr>
        <w:t>一、部门职责</w:t>
      </w:r>
    </w:p>
    <w:p>
      <w:pPr>
        <w:widowControl/>
        <w:spacing w:line="580" w:lineRule="exact"/>
        <w:ind w:firstLine="1273" w:firstLineChars="398"/>
        <w:rPr>
          <w:rFonts w:eastAsia="Times New Roman"/>
          <w:sz w:val="32"/>
          <w:szCs w:val="32"/>
        </w:rPr>
      </w:pPr>
      <w:r>
        <w:rPr>
          <w:rFonts w:hint="eastAsia" w:ascii="宋体" w:hAnsi="宋体" w:cs="宋体"/>
          <w:sz w:val="32"/>
          <w:szCs w:val="32"/>
        </w:rPr>
        <w:t>二、机构设置</w:t>
      </w:r>
    </w:p>
    <w:p>
      <w:pPr>
        <w:widowControl/>
        <w:spacing w:line="580" w:lineRule="exact"/>
        <w:ind w:firstLine="640" w:firstLineChars="200"/>
        <w:rPr>
          <w:rFonts w:eastAsia="Times New Roman"/>
          <w:sz w:val="20"/>
          <w:szCs w:val="32"/>
        </w:rPr>
      </w:pPr>
      <w:r>
        <w:rPr>
          <w:rFonts w:hint="eastAsia" w:eastAsia="黑体"/>
          <w:sz w:val="32"/>
          <w:szCs w:val="32"/>
        </w:rPr>
        <w:t>第二部分</w:t>
      </w:r>
      <w:r>
        <w:rPr>
          <w:rFonts w:eastAsia="黑体"/>
          <w:sz w:val="32"/>
          <w:szCs w:val="32"/>
        </w:rPr>
        <w:t xml:space="preserve"> </w:t>
      </w:r>
      <w:r>
        <w:rPr>
          <w:rFonts w:hint="eastAsia" w:eastAsia="黑体"/>
          <w:sz w:val="32"/>
          <w:szCs w:val="32"/>
        </w:rPr>
        <w:t>霸州市安全生产监督管理局</w:t>
      </w:r>
      <w:r>
        <w:rPr>
          <w:rFonts w:eastAsia="黑体"/>
          <w:sz w:val="32"/>
          <w:szCs w:val="32"/>
        </w:rPr>
        <w:t>2018</w:t>
      </w:r>
      <w:r>
        <w:rPr>
          <w:rFonts w:hint="eastAsia" w:eastAsia="黑体"/>
          <w:sz w:val="32"/>
          <w:szCs w:val="32"/>
        </w:rPr>
        <w:t>年度部门决算报表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一、收入支出决算总表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二、收入决算表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三、支出决算表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四、财政拨款收入支出决算总表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五、一般公共预算财政拨款支出决算表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六、一般公共预算财政拨款基本支出决算表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七、一般公共预算财政拨款</w:t>
      </w:r>
      <w:r>
        <w:rPr>
          <w:rFonts w:eastAsia="Times New Roman"/>
          <w:sz w:val="32"/>
          <w:szCs w:val="32"/>
        </w:rPr>
        <w:t>“</w:t>
      </w:r>
      <w:r>
        <w:rPr>
          <w:rFonts w:hint="eastAsia" w:ascii="宋体" w:hAnsi="宋体" w:cs="宋体"/>
          <w:sz w:val="32"/>
          <w:szCs w:val="32"/>
        </w:rPr>
        <w:t>三公</w:t>
      </w:r>
      <w:r>
        <w:rPr>
          <w:rFonts w:eastAsia="Times New Roman"/>
          <w:sz w:val="32"/>
          <w:szCs w:val="32"/>
        </w:rPr>
        <w:t>”</w:t>
      </w:r>
      <w:r>
        <w:rPr>
          <w:rFonts w:hint="eastAsia" w:ascii="宋体" w:hAnsi="宋体" w:cs="宋体"/>
          <w:sz w:val="32"/>
          <w:szCs w:val="32"/>
        </w:rPr>
        <w:t>经费支出决算表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八、政府性基金预算财政拨款收入支出决算表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九、国有资本经营预算财政拨款支出决算表</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十、政府采购情况表</w:t>
      </w: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霸州市安全生产监督管理局</w:t>
      </w:r>
      <w:r>
        <w:rPr>
          <w:rFonts w:eastAsia="黑体"/>
          <w:sz w:val="32"/>
          <w:szCs w:val="32"/>
        </w:rPr>
        <w:t>2018</w:t>
      </w:r>
      <w:r>
        <w:rPr>
          <w:rFonts w:hint="eastAsia" w:eastAsia="黑体"/>
          <w:sz w:val="32"/>
          <w:szCs w:val="32"/>
        </w:rPr>
        <w:t>年部门决算情况说明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一、收入支出决算总体情况说明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二、收入决算情况说明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三、支出决算情况说明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四、财政拨款收入支出决算情况说明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五、一般公共预算财政拨款</w:t>
      </w:r>
      <w:r>
        <w:rPr>
          <w:rFonts w:eastAsia="Times New Roman"/>
          <w:sz w:val="32"/>
          <w:szCs w:val="32"/>
        </w:rPr>
        <w:t>“</w:t>
      </w:r>
      <w:r>
        <w:rPr>
          <w:rFonts w:hint="eastAsia" w:ascii="宋体" w:hAnsi="宋体" w:cs="宋体"/>
          <w:sz w:val="32"/>
          <w:szCs w:val="32"/>
        </w:rPr>
        <w:t>三公</w:t>
      </w:r>
      <w:r>
        <w:rPr>
          <w:rFonts w:eastAsia="Times New Roman"/>
          <w:sz w:val="32"/>
          <w:szCs w:val="32"/>
        </w:rPr>
        <w:t>”</w:t>
      </w:r>
      <w:r>
        <w:rPr>
          <w:rFonts w:hint="eastAsia" w:ascii="宋体" w:hAnsi="宋体" w:cs="宋体"/>
          <w:sz w:val="32"/>
          <w:szCs w:val="32"/>
        </w:rPr>
        <w:t>经费支出决算情况说明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六、预算绩效情况说明</w:t>
      </w:r>
    </w:p>
    <w:p>
      <w:pPr>
        <w:widowControl/>
        <w:spacing w:line="580" w:lineRule="exact"/>
        <w:ind w:left="640" w:firstLine="640" w:firstLineChars="200"/>
        <w:rPr>
          <w:rFonts w:eastAsia="Times New Roman"/>
          <w:sz w:val="32"/>
          <w:szCs w:val="32"/>
        </w:rPr>
      </w:pPr>
      <w:r>
        <w:rPr>
          <w:rFonts w:hint="eastAsia" w:ascii="宋体" w:hAnsi="宋体" w:cs="宋体"/>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第四部分名词解释</w:t>
      </w:r>
    </w:p>
    <w:p>
      <w:pPr>
        <w:widowControl/>
        <w:spacing w:after="0" w:line="560" w:lineRule="exact"/>
        <w:ind w:firstLine="1280" w:firstLineChars="400"/>
        <w:rPr>
          <w:rFonts w:ascii="宋体" w:cs="宋体"/>
          <w:sz w:val="32"/>
          <w:szCs w:val="32"/>
        </w:rPr>
      </w:pPr>
      <w:r>
        <w:rPr>
          <w:rFonts w:hint="eastAsia" w:ascii="宋体" w:hAnsi="宋体" w:cs="宋体"/>
          <w:sz w:val="32"/>
          <w:szCs w:val="32"/>
        </w:rPr>
        <w:t>一、财政拨款收入</w:t>
      </w:r>
    </w:p>
    <w:p>
      <w:pPr>
        <w:widowControl/>
        <w:spacing w:after="0" w:line="560" w:lineRule="exact"/>
        <w:ind w:firstLine="1280" w:firstLineChars="400"/>
        <w:rPr>
          <w:rFonts w:ascii="宋体" w:cs="宋体"/>
          <w:sz w:val="32"/>
          <w:szCs w:val="32"/>
        </w:rPr>
      </w:pPr>
      <w:r>
        <w:rPr>
          <w:rFonts w:hint="eastAsia" w:ascii="宋体" w:hAnsi="宋体" w:cs="宋体"/>
          <w:sz w:val="32"/>
          <w:szCs w:val="32"/>
        </w:rPr>
        <w:t>二、事业收入</w:t>
      </w:r>
    </w:p>
    <w:p>
      <w:pPr>
        <w:widowControl/>
        <w:spacing w:after="0" w:line="560" w:lineRule="exact"/>
        <w:ind w:firstLine="1280" w:firstLineChars="400"/>
        <w:rPr>
          <w:rFonts w:ascii="宋体" w:cs="宋体"/>
          <w:sz w:val="32"/>
          <w:szCs w:val="32"/>
        </w:rPr>
      </w:pPr>
      <w:r>
        <w:rPr>
          <w:rFonts w:hint="eastAsia" w:ascii="宋体" w:hAnsi="宋体" w:cs="宋体"/>
          <w:sz w:val="32"/>
          <w:szCs w:val="32"/>
        </w:rPr>
        <w:t>三、其他收入</w:t>
      </w:r>
    </w:p>
    <w:p>
      <w:pPr>
        <w:widowControl/>
        <w:spacing w:after="0" w:line="560" w:lineRule="exact"/>
        <w:ind w:firstLine="1280" w:firstLineChars="400"/>
        <w:rPr>
          <w:rFonts w:ascii="宋体" w:cs="宋体"/>
          <w:sz w:val="32"/>
          <w:szCs w:val="32"/>
        </w:rPr>
      </w:pPr>
      <w:r>
        <w:rPr>
          <w:rFonts w:hint="eastAsia" w:ascii="宋体" w:hAnsi="宋体" w:cs="宋体"/>
          <w:sz w:val="32"/>
          <w:szCs w:val="32"/>
        </w:rPr>
        <w:t>四、用事业基金弥补收支差额</w:t>
      </w:r>
    </w:p>
    <w:p>
      <w:pPr>
        <w:widowControl/>
        <w:spacing w:after="0" w:line="560" w:lineRule="exact"/>
        <w:ind w:firstLine="1280" w:firstLineChars="400"/>
        <w:rPr>
          <w:rFonts w:ascii="宋体" w:cs="宋体"/>
          <w:sz w:val="32"/>
          <w:szCs w:val="32"/>
        </w:rPr>
      </w:pPr>
      <w:r>
        <w:rPr>
          <w:rFonts w:hint="eastAsia" w:ascii="宋体" w:hAnsi="宋体" w:cs="宋体"/>
          <w:sz w:val="32"/>
          <w:szCs w:val="32"/>
        </w:rPr>
        <w:t>五、年初结转和结余</w:t>
      </w:r>
    </w:p>
    <w:p>
      <w:pPr>
        <w:widowControl/>
        <w:spacing w:after="0" w:line="560" w:lineRule="exact"/>
        <w:ind w:firstLine="1280" w:firstLineChars="400"/>
        <w:rPr>
          <w:rFonts w:ascii="宋体" w:cs="宋体"/>
          <w:sz w:val="32"/>
          <w:szCs w:val="32"/>
        </w:rPr>
      </w:pPr>
      <w:r>
        <w:rPr>
          <w:rFonts w:hint="eastAsia" w:ascii="宋体" w:hAnsi="宋体" w:cs="宋体"/>
          <w:sz w:val="32"/>
          <w:szCs w:val="32"/>
        </w:rPr>
        <w:t>六、结余分配</w:t>
      </w:r>
    </w:p>
    <w:p>
      <w:pPr>
        <w:widowControl/>
        <w:spacing w:after="0" w:line="560" w:lineRule="exact"/>
        <w:ind w:firstLine="1280" w:firstLineChars="400"/>
        <w:rPr>
          <w:rFonts w:ascii="宋体" w:cs="宋体"/>
          <w:sz w:val="32"/>
          <w:szCs w:val="32"/>
        </w:rPr>
      </w:pPr>
      <w:r>
        <w:rPr>
          <w:rFonts w:hint="eastAsia" w:ascii="宋体" w:hAnsi="宋体" w:cs="宋体"/>
          <w:sz w:val="32"/>
          <w:szCs w:val="32"/>
        </w:rPr>
        <w:t>七、年末结转和结余</w:t>
      </w:r>
    </w:p>
    <w:p>
      <w:pPr>
        <w:widowControl/>
        <w:spacing w:after="0" w:line="560" w:lineRule="exact"/>
        <w:ind w:firstLine="1280" w:firstLineChars="400"/>
        <w:rPr>
          <w:rFonts w:ascii="宋体" w:cs="宋体"/>
          <w:sz w:val="32"/>
          <w:szCs w:val="32"/>
        </w:rPr>
      </w:pPr>
      <w:r>
        <w:rPr>
          <w:rFonts w:hint="eastAsia" w:ascii="宋体" w:hAnsi="宋体" w:cs="宋体"/>
          <w:sz w:val="32"/>
          <w:szCs w:val="32"/>
        </w:rPr>
        <w:t>八、基本支出</w:t>
      </w:r>
    </w:p>
    <w:p>
      <w:pPr>
        <w:widowControl/>
        <w:spacing w:after="0" w:line="560" w:lineRule="exact"/>
        <w:ind w:firstLine="1280" w:firstLineChars="400"/>
        <w:rPr>
          <w:rFonts w:ascii="宋体" w:cs="宋体"/>
          <w:sz w:val="32"/>
          <w:szCs w:val="32"/>
        </w:rPr>
      </w:pPr>
      <w:r>
        <w:rPr>
          <w:rFonts w:hint="eastAsia" w:ascii="宋体" w:hAnsi="宋体" w:cs="宋体"/>
          <w:sz w:val="32"/>
          <w:szCs w:val="32"/>
        </w:rPr>
        <w:t>九、项目支出</w:t>
      </w:r>
    </w:p>
    <w:p>
      <w:pPr>
        <w:widowControl/>
        <w:spacing w:after="0" w:line="560" w:lineRule="exact"/>
        <w:ind w:firstLine="1280" w:firstLineChars="400"/>
        <w:rPr>
          <w:rFonts w:ascii="宋体" w:cs="宋体"/>
          <w:sz w:val="32"/>
          <w:szCs w:val="32"/>
        </w:rPr>
      </w:pPr>
      <w:r>
        <w:rPr>
          <w:rFonts w:hint="eastAsia" w:ascii="宋体" w:hAnsi="宋体" w:cs="宋体"/>
          <w:sz w:val="32"/>
          <w:szCs w:val="32"/>
        </w:rPr>
        <w:t>十、资本性支出（基本建设）</w:t>
      </w:r>
    </w:p>
    <w:p>
      <w:pPr>
        <w:widowControl/>
        <w:spacing w:after="0" w:line="560" w:lineRule="exact"/>
        <w:ind w:firstLine="1280" w:firstLineChars="400"/>
        <w:rPr>
          <w:rFonts w:ascii="宋体" w:cs="宋体"/>
          <w:sz w:val="32"/>
          <w:szCs w:val="32"/>
        </w:rPr>
      </w:pPr>
      <w:r>
        <w:rPr>
          <w:rFonts w:hint="eastAsia" w:ascii="宋体" w:hAnsi="宋体" w:cs="宋体"/>
          <w:sz w:val="32"/>
          <w:szCs w:val="32"/>
        </w:rPr>
        <w:t>十一、资本性支出</w:t>
      </w:r>
    </w:p>
    <w:p>
      <w:pPr>
        <w:widowControl/>
        <w:spacing w:after="0" w:line="560" w:lineRule="exact"/>
        <w:ind w:firstLine="1280" w:firstLineChars="400"/>
        <w:rPr>
          <w:rFonts w:ascii="宋体" w:cs="宋体"/>
          <w:sz w:val="32"/>
          <w:szCs w:val="32"/>
        </w:rPr>
      </w:pPr>
      <w:r>
        <w:rPr>
          <w:rFonts w:hint="eastAsia" w:ascii="宋体" w:hAnsi="宋体" w:cs="宋体"/>
          <w:sz w:val="32"/>
          <w:szCs w:val="32"/>
        </w:rPr>
        <w:t>十二、“三公”经费</w:t>
      </w:r>
    </w:p>
    <w:p>
      <w:pPr>
        <w:widowControl/>
        <w:spacing w:after="0" w:line="560" w:lineRule="exact"/>
        <w:ind w:firstLine="1280" w:firstLineChars="400"/>
        <w:rPr>
          <w:rFonts w:ascii="宋体" w:cs="宋体"/>
          <w:sz w:val="32"/>
          <w:szCs w:val="32"/>
        </w:rPr>
      </w:pPr>
      <w:r>
        <w:rPr>
          <w:rFonts w:hint="eastAsia" w:ascii="宋体" w:hAnsi="宋体" w:cs="宋体"/>
          <w:sz w:val="32"/>
          <w:szCs w:val="32"/>
        </w:rPr>
        <w:t>十三、其他交通费用</w:t>
      </w:r>
    </w:p>
    <w:p>
      <w:pPr>
        <w:widowControl/>
        <w:spacing w:after="0" w:line="560" w:lineRule="exact"/>
        <w:ind w:firstLine="1280" w:firstLineChars="400"/>
        <w:rPr>
          <w:rFonts w:ascii="宋体" w:cs="宋体"/>
          <w:sz w:val="32"/>
          <w:szCs w:val="32"/>
        </w:rPr>
      </w:pPr>
      <w:r>
        <w:rPr>
          <w:rFonts w:hint="eastAsia" w:ascii="宋体" w:hAnsi="宋体" w:cs="宋体"/>
          <w:sz w:val="32"/>
          <w:szCs w:val="32"/>
        </w:rPr>
        <w:t>十四、公务用车购置</w:t>
      </w:r>
    </w:p>
    <w:p>
      <w:pPr>
        <w:widowControl/>
        <w:spacing w:after="0" w:line="560" w:lineRule="exact"/>
        <w:ind w:firstLine="1280" w:firstLineChars="400"/>
        <w:rPr>
          <w:rFonts w:ascii="宋体" w:cs="宋体"/>
          <w:sz w:val="32"/>
          <w:szCs w:val="32"/>
        </w:rPr>
      </w:pPr>
      <w:r>
        <w:rPr>
          <w:rFonts w:hint="eastAsia" w:ascii="宋体" w:hAnsi="宋体" w:cs="宋体"/>
          <w:sz w:val="32"/>
          <w:szCs w:val="32"/>
        </w:rPr>
        <w:t>十五、其他交通工具购置</w:t>
      </w:r>
    </w:p>
    <w:p>
      <w:pPr>
        <w:widowControl/>
        <w:spacing w:after="0" w:line="560" w:lineRule="exact"/>
        <w:ind w:firstLine="1280" w:firstLineChars="400"/>
        <w:rPr>
          <w:rFonts w:ascii="宋体" w:cs="宋体"/>
          <w:sz w:val="32"/>
          <w:szCs w:val="32"/>
        </w:rPr>
      </w:pPr>
      <w:r>
        <w:rPr>
          <w:rFonts w:hint="eastAsia" w:ascii="宋体" w:hAnsi="宋体" w:cs="宋体"/>
          <w:sz w:val="32"/>
          <w:szCs w:val="32"/>
        </w:rPr>
        <w:t>十六、机关运行经费</w:t>
      </w:r>
    </w:p>
    <w:p>
      <w:pPr>
        <w:widowControl/>
        <w:spacing w:after="0" w:line="560" w:lineRule="exact"/>
        <w:ind w:firstLine="1280" w:firstLineChars="400"/>
        <w:rPr>
          <w:rFonts w:ascii="宋体" w:cs="宋体"/>
          <w:sz w:val="32"/>
          <w:szCs w:val="32"/>
        </w:rPr>
      </w:pPr>
      <w:r>
        <w:rPr>
          <w:rFonts w:hint="eastAsia" w:ascii="宋体" w:hAnsi="宋体" w:cs="宋体"/>
          <w:sz w:val="32"/>
          <w:szCs w:val="32"/>
        </w:rPr>
        <w:t>十七、经费形式</w:t>
      </w:r>
    </w:p>
    <w:p>
      <w:pPr>
        <w:widowControl/>
        <w:spacing w:after="0" w:line="560" w:lineRule="exact"/>
        <w:ind w:firstLine="640" w:firstLineChars="200"/>
        <w:rPr>
          <w:rFonts w:ascii="??_GB2312" w:hAnsi="Cambria" w:eastAsia="Times New Roman" w:cs="ArialUnicodeMS"/>
          <w:kern w:val="0"/>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hAnsi="宋体" w:eastAsia="黑体"/>
          <w:color w:val="000000"/>
          <w:sz w:val="96"/>
          <w:szCs w:val="96"/>
        </w:rPr>
        <w:t>第一部分</w:t>
      </w:r>
      <w:r>
        <w:rPr>
          <w:rFonts w:ascii="黑体" w:hAnsi="宋体" w:eastAsia="黑体"/>
          <w:color w:val="000000"/>
          <w:sz w:val="96"/>
          <w:szCs w:val="96"/>
        </w:rPr>
        <w:t xml:space="preserve">  </w:t>
      </w:r>
      <w:r>
        <w:rPr>
          <w:rFonts w:hint="eastAsia" w:ascii="黑体" w:hAnsi="宋体" w:eastAsia="黑体"/>
          <w:color w:val="000000"/>
          <w:sz w:val="96"/>
          <w:szCs w:val="96"/>
        </w:rPr>
        <w:t>部门概况</w:t>
      </w:r>
    </w:p>
    <w:p/>
    <w:p/>
    <w:p/>
    <w:p/>
    <w:p/>
    <w:p/>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一、部门职责</w:t>
      </w:r>
    </w:p>
    <w:p>
      <w:pPr>
        <w:spacing w:line="300" w:lineRule="atLeast"/>
        <w:ind w:firstLine="640" w:firstLineChars="200"/>
        <w:rPr>
          <w:rFonts w:ascii="仿宋" w:hAnsi="仿宋" w:eastAsia="仿宋"/>
          <w:sz w:val="32"/>
          <w:szCs w:val="32"/>
        </w:rPr>
      </w:pPr>
      <w:r>
        <w:rPr>
          <w:rFonts w:hint="eastAsia" w:ascii="仿宋" w:hAnsi="仿宋" w:eastAsia="仿宋"/>
          <w:sz w:val="32"/>
          <w:szCs w:val="32"/>
        </w:rPr>
        <w:t>（一）贯彻执行国家、省、廊坊市安全生产方面法律法规，组织起草相关的地方性文件，拟订安全生产制度和规划，指导协调全市安全生产工作，分析和预测全市安全生产形势，发布全市安全生产信息，研究、协调和解决安全生产中的重大问题。</w:t>
      </w:r>
    </w:p>
    <w:p>
      <w:pPr>
        <w:spacing w:line="300" w:lineRule="atLeast"/>
        <w:ind w:firstLine="640" w:firstLineChars="200"/>
        <w:rPr>
          <w:rFonts w:ascii="仿宋" w:hAnsi="仿宋" w:eastAsia="仿宋"/>
          <w:sz w:val="32"/>
          <w:szCs w:val="32"/>
        </w:rPr>
      </w:pPr>
      <w:r>
        <w:rPr>
          <w:rFonts w:hint="eastAsia" w:ascii="仿宋" w:hAnsi="仿宋" w:eastAsia="仿宋"/>
          <w:sz w:val="32"/>
          <w:szCs w:val="32"/>
        </w:rPr>
        <w:t>（二）承担全市安全生产综合监督管理责任，依法行使综合监督管理职权，指导协调、监督检查市有关部门和乡镇（区、办）人民政府安全生产工作，监督考核安全生产控制指标执行情况，综合管理全市生产安全伤亡事故和安全生产行政执法统计分析工作。</w:t>
      </w:r>
    </w:p>
    <w:p>
      <w:pPr>
        <w:spacing w:line="300" w:lineRule="atLeast"/>
        <w:ind w:firstLine="640" w:firstLineChars="200"/>
        <w:rPr>
          <w:rFonts w:ascii="仿宋" w:hAnsi="仿宋" w:eastAsia="仿宋"/>
          <w:sz w:val="32"/>
          <w:szCs w:val="32"/>
        </w:rPr>
      </w:pPr>
      <w:r>
        <w:rPr>
          <w:rFonts w:hint="eastAsia" w:ascii="仿宋" w:hAnsi="仿宋" w:eastAsia="仿宋"/>
          <w:sz w:val="32"/>
          <w:szCs w:val="32"/>
        </w:rPr>
        <w:t>（三）承担工矿商贸行业安全生产监督管理责任，按照分级、属地原则，依法监督检查工矿商贸生产经营单位贯彻执行安全生产法律法规情况及其安全生产条件和有关设备（适用《特种设备安全监察条例》的特种设备除外）、材料、劳动防护用品的安全管理工作；负责监督管理市管理的工矿商贸企业安全生产工作。</w:t>
      </w:r>
    </w:p>
    <w:p>
      <w:pPr>
        <w:spacing w:line="300" w:lineRule="atLeast"/>
        <w:ind w:firstLine="640" w:firstLineChars="200"/>
        <w:rPr>
          <w:rFonts w:ascii="仿宋" w:hAnsi="仿宋" w:eastAsia="仿宋"/>
          <w:sz w:val="32"/>
          <w:szCs w:val="32"/>
        </w:rPr>
      </w:pPr>
      <w:r>
        <w:rPr>
          <w:rFonts w:hint="eastAsia" w:ascii="仿宋" w:hAnsi="仿宋" w:eastAsia="仿宋"/>
          <w:sz w:val="32"/>
          <w:szCs w:val="32"/>
        </w:rPr>
        <w:t>（四）承担非煤矿矿山企业和危险化学品、烟花爆竹生产经营企业安全生产准入管理职责，依法组织实施安全生产准入制度；负责危险化学品安全监督管理综合工作和烟花爆竹安全生产监督管理工作。</w:t>
      </w:r>
    </w:p>
    <w:p>
      <w:pPr>
        <w:spacing w:line="300" w:lineRule="atLeast"/>
        <w:ind w:firstLine="640" w:firstLineChars="200"/>
        <w:rPr>
          <w:rFonts w:ascii="仿宋" w:hAnsi="仿宋" w:eastAsia="仿宋"/>
          <w:sz w:val="32"/>
          <w:szCs w:val="32"/>
        </w:rPr>
      </w:pPr>
      <w:r>
        <w:rPr>
          <w:rFonts w:hint="eastAsia" w:ascii="仿宋" w:hAnsi="仿宋" w:eastAsia="仿宋"/>
          <w:sz w:val="32"/>
          <w:szCs w:val="32"/>
        </w:rPr>
        <w:t>（五）承担工矿商贸作业场所（煤矿作业场所除外）职业卫生监督检查责任，依法承担职业卫生安全许可证的颁发管理工作，组织调查处理职业危害事故和违法违规行为。</w:t>
      </w:r>
    </w:p>
    <w:p>
      <w:pPr>
        <w:spacing w:line="300" w:lineRule="atLeast"/>
        <w:ind w:firstLine="640" w:firstLineChars="200"/>
        <w:rPr>
          <w:rFonts w:ascii="仿宋" w:hAnsi="仿宋" w:eastAsia="仿宋"/>
          <w:sz w:val="32"/>
          <w:szCs w:val="32"/>
        </w:rPr>
      </w:pPr>
      <w:r>
        <w:rPr>
          <w:rFonts w:hint="eastAsia" w:ascii="仿宋" w:hAnsi="仿宋" w:eastAsia="仿宋"/>
          <w:sz w:val="32"/>
          <w:szCs w:val="32"/>
        </w:rPr>
        <w:t>（六）组织实施工矿商贸行业安全生产规章、标准和规程，依法监督检查重大危险源监控和重大事故隐患排查治理工作，依法查处不具备安全生产条件的工矿商贸生产经营单位。</w:t>
      </w:r>
    </w:p>
    <w:p>
      <w:pPr>
        <w:spacing w:line="300" w:lineRule="atLeast"/>
        <w:ind w:firstLine="640" w:firstLineChars="200"/>
        <w:rPr>
          <w:rFonts w:ascii="仿宋" w:hAnsi="仿宋" w:eastAsia="仿宋"/>
          <w:sz w:val="32"/>
          <w:szCs w:val="32"/>
        </w:rPr>
      </w:pPr>
      <w:r>
        <w:rPr>
          <w:rFonts w:hint="eastAsia" w:ascii="仿宋" w:hAnsi="仿宋" w:eastAsia="仿宋"/>
          <w:sz w:val="32"/>
          <w:szCs w:val="32"/>
        </w:rPr>
        <w:t>（七）负责组织全市安全生产大检查和专项督查；负责组织指挥和协调全市安全生产应急救援工作。</w:t>
      </w:r>
    </w:p>
    <w:p>
      <w:pPr>
        <w:spacing w:line="300" w:lineRule="atLeast"/>
        <w:ind w:firstLine="640" w:firstLineChars="200"/>
        <w:rPr>
          <w:rFonts w:ascii="仿宋" w:hAnsi="仿宋" w:eastAsia="仿宋"/>
          <w:sz w:val="32"/>
          <w:szCs w:val="32"/>
        </w:rPr>
      </w:pPr>
      <w:r>
        <w:rPr>
          <w:rFonts w:hint="eastAsia" w:ascii="仿宋" w:hAnsi="仿宋" w:eastAsia="仿宋"/>
          <w:sz w:val="32"/>
          <w:szCs w:val="32"/>
        </w:rPr>
        <w:t>（八）组织指导协调和监督全市安全生产行政执法工作。</w:t>
      </w:r>
    </w:p>
    <w:p>
      <w:pPr>
        <w:spacing w:line="300" w:lineRule="atLeast"/>
        <w:ind w:firstLine="640" w:firstLineChars="200"/>
        <w:rPr>
          <w:rFonts w:ascii="仿宋" w:hAnsi="仿宋" w:eastAsia="仿宋"/>
          <w:sz w:val="32"/>
          <w:szCs w:val="32"/>
        </w:rPr>
      </w:pPr>
      <w:r>
        <w:rPr>
          <w:rFonts w:hint="eastAsia" w:ascii="仿宋" w:hAnsi="仿宋" w:eastAsia="仿宋"/>
          <w:sz w:val="32"/>
          <w:szCs w:val="32"/>
        </w:rPr>
        <w:t>（九）依法组织事故调查处理和办理结案工作，监督事故查处和责任追究落实情况；参加重大以上事故的调查处理工作。</w:t>
      </w:r>
    </w:p>
    <w:p>
      <w:pPr>
        <w:spacing w:line="300" w:lineRule="atLeast"/>
        <w:ind w:firstLine="640" w:firstLineChars="200"/>
        <w:rPr>
          <w:rFonts w:ascii="仿宋" w:hAnsi="仿宋" w:eastAsia="仿宋"/>
          <w:sz w:val="32"/>
          <w:szCs w:val="32"/>
        </w:rPr>
      </w:pPr>
      <w:r>
        <w:rPr>
          <w:rFonts w:hint="eastAsia" w:ascii="仿宋" w:hAnsi="仿宋" w:eastAsia="仿宋"/>
          <w:sz w:val="32"/>
          <w:szCs w:val="32"/>
        </w:rPr>
        <w:t>（十）负责监督检查职责范围内新建、改建、扩建工程项目的安全设施与主体工程同时设计、同时施工、同时投产使用情况。</w:t>
      </w:r>
    </w:p>
    <w:p>
      <w:pPr>
        <w:spacing w:line="300" w:lineRule="atLeast"/>
        <w:ind w:firstLine="640" w:firstLineChars="200"/>
        <w:rPr>
          <w:rFonts w:ascii="仿宋" w:hAnsi="仿宋" w:eastAsia="仿宋"/>
          <w:sz w:val="32"/>
          <w:szCs w:val="32"/>
        </w:rPr>
      </w:pPr>
      <w:r>
        <w:rPr>
          <w:rFonts w:hint="eastAsia" w:ascii="仿宋" w:hAnsi="仿宋" w:eastAsia="仿宋"/>
          <w:sz w:val="32"/>
          <w:szCs w:val="32"/>
        </w:rPr>
        <w:t>（十一）组织指导全市安全生产宣传教育工作；承担管理特种作业人员（适用《特种设备安全监察条例》的特种设备作业人员除外）的考核工作和工矿商贸生产经营单位主要负责人、安全生产管理人员的安全资格考核工作；监督检查工矿商贸生产经营单位安全生产和职业安全培训工作。</w:t>
      </w:r>
    </w:p>
    <w:p>
      <w:pPr>
        <w:spacing w:line="300" w:lineRule="atLeast"/>
        <w:ind w:firstLine="640" w:firstLineChars="200"/>
        <w:rPr>
          <w:rFonts w:ascii="仿宋" w:hAnsi="仿宋" w:eastAsia="仿宋"/>
          <w:sz w:val="32"/>
          <w:szCs w:val="32"/>
        </w:rPr>
      </w:pPr>
      <w:r>
        <w:rPr>
          <w:rFonts w:hint="eastAsia" w:ascii="仿宋" w:hAnsi="仿宋" w:eastAsia="仿宋"/>
          <w:sz w:val="32"/>
          <w:szCs w:val="32"/>
        </w:rPr>
        <w:t>（十二）指导协调全市安全生产检测检验工作，监督管理安全生产社会中介机构和安全评价工作，组织实施注册安全工程师职业资格制度，监督和指导注册安全工程师职业资格考试和注册工作。</w:t>
      </w:r>
    </w:p>
    <w:p>
      <w:pPr>
        <w:spacing w:line="300" w:lineRule="atLeast"/>
        <w:ind w:firstLine="640" w:firstLineChars="200"/>
        <w:rPr>
          <w:rFonts w:ascii="仿宋" w:hAnsi="仿宋" w:eastAsia="仿宋"/>
          <w:sz w:val="32"/>
          <w:szCs w:val="32"/>
        </w:rPr>
      </w:pPr>
      <w:r>
        <w:rPr>
          <w:rFonts w:hint="eastAsia" w:ascii="仿宋" w:hAnsi="仿宋" w:eastAsia="仿宋"/>
          <w:sz w:val="32"/>
          <w:szCs w:val="32"/>
        </w:rPr>
        <w:t>（十三）组织拟订安全生产科技规划，组织协调安全生产科学技术研究和推广工作。</w:t>
      </w:r>
    </w:p>
    <w:p>
      <w:pPr>
        <w:spacing w:line="300" w:lineRule="atLeast"/>
        <w:ind w:firstLine="640" w:firstLineChars="200"/>
        <w:rPr>
          <w:rFonts w:ascii="仿宋" w:hAnsi="仿宋" w:eastAsia="仿宋"/>
          <w:sz w:val="32"/>
          <w:szCs w:val="32"/>
        </w:rPr>
      </w:pPr>
      <w:r>
        <w:rPr>
          <w:rFonts w:hint="eastAsia" w:ascii="仿宋" w:hAnsi="仿宋" w:eastAsia="仿宋"/>
          <w:sz w:val="32"/>
          <w:szCs w:val="32"/>
        </w:rPr>
        <w:t>（十四）组织开展安全生产方面的交流与合作。</w:t>
      </w:r>
    </w:p>
    <w:p>
      <w:pPr>
        <w:spacing w:line="300" w:lineRule="atLeast"/>
        <w:ind w:firstLine="640" w:firstLineChars="200"/>
        <w:rPr>
          <w:rFonts w:ascii="仿宋" w:hAnsi="仿宋" w:eastAsia="仿宋"/>
          <w:sz w:val="32"/>
          <w:szCs w:val="32"/>
        </w:rPr>
      </w:pPr>
      <w:r>
        <w:rPr>
          <w:rFonts w:hint="eastAsia" w:ascii="仿宋" w:hAnsi="仿宋" w:eastAsia="仿宋"/>
          <w:sz w:val="32"/>
          <w:szCs w:val="32"/>
        </w:rPr>
        <w:t>（十五）承担市安全生产委员会的具体工作，负责市安全生产委员会办公室的日常工作。</w:t>
      </w:r>
    </w:p>
    <w:p>
      <w:pPr>
        <w:spacing w:line="300" w:lineRule="atLeast"/>
        <w:ind w:firstLine="640" w:firstLineChars="200"/>
        <w:rPr>
          <w:rFonts w:ascii="仿宋" w:hAnsi="仿宋" w:eastAsia="仿宋"/>
          <w:sz w:val="32"/>
          <w:szCs w:val="32"/>
        </w:rPr>
      </w:pPr>
      <w:r>
        <w:rPr>
          <w:rFonts w:hint="eastAsia" w:ascii="仿宋" w:hAnsi="仿宋" w:eastAsia="仿宋"/>
          <w:sz w:val="32"/>
          <w:szCs w:val="32"/>
        </w:rPr>
        <w:t>（十六）负责监督管理用人单位职业危害项目申报工作。负责依法管理职业卫生安全许可证的颁发工作。负责依法管理职业卫生安全许可证的颁发工作。负责全市职业卫生监督检查工作。</w:t>
      </w:r>
    </w:p>
    <w:p>
      <w:pPr>
        <w:spacing w:line="300" w:lineRule="atLeast"/>
        <w:ind w:firstLine="640" w:firstLineChars="200"/>
        <w:rPr>
          <w:rFonts w:ascii="仿宋" w:hAnsi="仿宋" w:eastAsia="仿宋"/>
          <w:sz w:val="32"/>
          <w:szCs w:val="32"/>
        </w:rPr>
      </w:pPr>
      <w:r>
        <w:rPr>
          <w:rFonts w:hint="eastAsia" w:ascii="仿宋" w:hAnsi="仿宋" w:eastAsia="仿宋"/>
          <w:sz w:val="32"/>
          <w:szCs w:val="32"/>
        </w:rPr>
        <w:t>（十七）承办市政府交办的其他事项。</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_GB2312" w:hAnsi="Cambria" w:eastAsia="Times New Roman" w:cs="ArialUnicodeMS"/>
          <w:kern w:val="0"/>
          <w:sz w:val="32"/>
          <w:szCs w:val="32"/>
        </w:rPr>
      </w:pPr>
      <w:r>
        <w:rPr>
          <w:rFonts w:ascii="??_GB2312" w:hAnsi="Cambria" w:eastAsia="Times New Roman" w:cs="ArialUnicodeMS"/>
          <w:kern w:val="0"/>
          <w:sz w:val="32"/>
          <w:szCs w:val="32"/>
        </w:rPr>
        <w:t>从决算编报单位构成看，纳入2018 年度本部门决算汇编范围的独立核算单位（以下简称“单位”）共</w:t>
      </w:r>
      <w:r>
        <w:rPr>
          <w:rFonts w:ascii="??_GB2312" w:hAnsi="Cambria" w:cs="ArialUnicodeMS"/>
          <w:kern w:val="0"/>
          <w:sz w:val="32"/>
          <w:szCs w:val="32"/>
        </w:rPr>
        <w:t>1</w:t>
      </w:r>
      <w:r>
        <w:rPr>
          <w:rFonts w:ascii="??_GB2312" w:hAnsi="Cambria" w:eastAsia="Times New Roman" w:cs="ArialUnicodeMS"/>
          <w:kern w:val="0"/>
          <w:sz w:val="32"/>
          <w:szCs w:val="32"/>
        </w:rPr>
        <w:t>个，具体情况如下：</w:t>
      </w:r>
    </w:p>
    <w:tbl>
      <w:tblPr>
        <w:tblStyle w:val="12"/>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4725"/>
        <w:gridCol w:w="2100"/>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43" w:type="dxa"/>
            <w:vAlign w:val="center"/>
          </w:tcPr>
          <w:p>
            <w:pPr>
              <w:spacing w:after="0" w:line="560" w:lineRule="exact"/>
              <w:jc w:val="center"/>
              <w:rPr>
                <w:rFonts w:ascii="??_GB2312" w:hAnsi="Cambria" w:eastAsia="Times New Roman" w:cs="ArialUnicodeMS"/>
                <w:b/>
                <w:bCs/>
                <w:kern w:val="0"/>
                <w:sz w:val="28"/>
                <w:szCs w:val="28"/>
              </w:rPr>
            </w:pPr>
            <w:r>
              <w:rPr>
                <w:rFonts w:ascii="??_GB2312" w:hAnsi="Cambria" w:eastAsia="Times New Roman" w:cs="ArialUnicodeMS"/>
                <w:b/>
                <w:bCs/>
                <w:kern w:val="0"/>
                <w:sz w:val="28"/>
                <w:szCs w:val="28"/>
              </w:rPr>
              <w:t>序号</w:t>
            </w:r>
          </w:p>
        </w:tc>
        <w:tc>
          <w:tcPr>
            <w:tcW w:w="4725" w:type="dxa"/>
            <w:vAlign w:val="center"/>
          </w:tcPr>
          <w:p>
            <w:pPr>
              <w:spacing w:after="0" w:line="560" w:lineRule="exact"/>
              <w:jc w:val="center"/>
              <w:rPr>
                <w:rFonts w:ascii="??_GB2312" w:hAnsi="Cambria" w:eastAsia="Times New Roman" w:cs="ArialUnicodeMS"/>
                <w:b/>
                <w:bCs/>
                <w:kern w:val="0"/>
                <w:sz w:val="28"/>
                <w:szCs w:val="28"/>
              </w:rPr>
            </w:pPr>
            <w:r>
              <w:rPr>
                <w:rFonts w:ascii="??_GB2312" w:hAnsi="Cambria" w:eastAsia="Times New Roman" w:cs="ArialUnicodeMS"/>
                <w:b/>
                <w:bCs/>
                <w:kern w:val="0"/>
                <w:sz w:val="28"/>
                <w:szCs w:val="28"/>
              </w:rPr>
              <w:t>单位名称</w:t>
            </w:r>
          </w:p>
        </w:tc>
        <w:tc>
          <w:tcPr>
            <w:tcW w:w="2100" w:type="dxa"/>
            <w:vAlign w:val="center"/>
          </w:tcPr>
          <w:p>
            <w:pPr>
              <w:spacing w:after="0" w:line="560" w:lineRule="exact"/>
              <w:jc w:val="center"/>
              <w:rPr>
                <w:rFonts w:ascii="??_GB2312" w:hAnsi="Cambria" w:eastAsia="Times New Roman" w:cs="ArialUnicodeMS"/>
                <w:b/>
                <w:bCs/>
                <w:kern w:val="0"/>
                <w:sz w:val="28"/>
                <w:szCs w:val="28"/>
              </w:rPr>
            </w:pPr>
            <w:r>
              <w:rPr>
                <w:rFonts w:ascii="??_GB2312" w:hAnsi="Cambria" w:eastAsia="Times New Roman" w:cs="ArialUnicodeMS"/>
                <w:b/>
                <w:bCs/>
                <w:kern w:val="0"/>
                <w:sz w:val="28"/>
                <w:szCs w:val="28"/>
              </w:rPr>
              <w:t>单位基本性质</w:t>
            </w:r>
          </w:p>
        </w:tc>
        <w:tc>
          <w:tcPr>
            <w:tcW w:w="1912" w:type="dxa"/>
            <w:vAlign w:val="center"/>
          </w:tcPr>
          <w:p>
            <w:pPr>
              <w:spacing w:after="0" w:line="560" w:lineRule="exact"/>
              <w:jc w:val="center"/>
              <w:rPr>
                <w:rFonts w:ascii="??_GB2312" w:hAnsi="Cambria" w:eastAsia="Times New Roman" w:cs="ArialUnicodeMS"/>
                <w:b/>
                <w:bCs/>
                <w:kern w:val="0"/>
                <w:sz w:val="28"/>
                <w:szCs w:val="28"/>
              </w:rPr>
            </w:pPr>
            <w:r>
              <w:rPr>
                <w:rFonts w:ascii="??_GB2312" w:hAnsi="Cambria" w:eastAsia="Times New Roman"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3" w:type="dxa"/>
          </w:tcPr>
          <w:p>
            <w:pPr>
              <w:spacing w:after="0" w:line="560" w:lineRule="exact"/>
              <w:jc w:val="center"/>
              <w:rPr>
                <w:rFonts w:ascii="??_GB2312" w:hAnsi="Cambria" w:eastAsia="Times New Roman" w:cs="ArialUnicodeMS"/>
                <w:kern w:val="0"/>
                <w:sz w:val="28"/>
                <w:szCs w:val="28"/>
              </w:rPr>
            </w:pPr>
            <w:r>
              <w:rPr>
                <w:rFonts w:ascii="??_GB2312" w:hAnsi="Cambria" w:eastAsia="Times New Roman" w:cs="ArialUnicodeMS"/>
                <w:kern w:val="0"/>
                <w:sz w:val="28"/>
                <w:szCs w:val="28"/>
              </w:rPr>
              <w:t>1</w:t>
            </w:r>
          </w:p>
        </w:tc>
        <w:tc>
          <w:tcPr>
            <w:tcW w:w="4725" w:type="dxa"/>
          </w:tcPr>
          <w:p>
            <w:pPr>
              <w:spacing w:after="0" w:line="560" w:lineRule="exact"/>
              <w:rPr>
                <w:rFonts w:ascii="??_GB2312" w:hAnsi="Cambria" w:eastAsia="Times New Roman" w:cs="ArialUnicodeMS"/>
                <w:kern w:val="0"/>
                <w:sz w:val="28"/>
                <w:szCs w:val="28"/>
              </w:rPr>
            </w:pPr>
            <w:r>
              <w:rPr>
                <w:rFonts w:hint="eastAsia" w:ascii="??_GB2312" w:hAnsi="Cambria" w:cs="ArialUnicodeMS"/>
                <w:kern w:val="0"/>
                <w:sz w:val="28"/>
                <w:szCs w:val="28"/>
              </w:rPr>
              <w:t>霸州市安全生产监督管理局</w:t>
            </w:r>
            <w:r>
              <w:rPr>
                <w:rFonts w:ascii="??_GB2312" w:hAnsi="Cambria" w:eastAsia="Times New Roman" w:cs="ArialUnicodeMS"/>
                <w:kern w:val="0"/>
                <w:sz w:val="28"/>
                <w:szCs w:val="28"/>
              </w:rPr>
              <w:t xml:space="preserve"> (本级)</w:t>
            </w:r>
          </w:p>
        </w:tc>
        <w:tc>
          <w:tcPr>
            <w:tcW w:w="2100" w:type="dxa"/>
          </w:tcPr>
          <w:p>
            <w:pPr>
              <w:spacing w:after="0" w:line="560" w:lineRule="exact"/>
              <w:jc w:val="center"/>
              <w:rPr>
                <w:rFonts w:ascii="??_GB2312" w:hAnsi="Cambria" w:cs="ArialUnicodeMS"/>
                <w:kern w:val="0"/>
                <w:sz w:val="28"/>
                <w:szCs w:val="28"/>
              </w:rPr>
            </w:pPr>
            <w:r>
              <w:rPr>
                <w:rFonts w:hint="eastAsia" w:ascii="??_GB2312" w:hAnsi="Cambria" w:cs="ArialUnicodeMS"/>
                <w:kern w:val="0"/>
                <w:sz w:val="28"/>
                <w:szCs w:val="28"/>
              </w:rPr>
              <w:t>行政单位</w:t>
            </w:r>
          </w:p>
        </w:tc>
        <w:tc>
          <w:tcPr>
            <w:tcW w:w="1912" w:type="dxa"/>
          </w:tcPr>
          <w:p>
            <w:pPr>
              <w:spacing w:after="0" w:line="560" w:lineRule="exact"/>
              <w:jc w:val="center"/>
              <w:rPr>
                <w:rFonts w:ascii="??_GB2312" w:hAnsi="Cambria" w:cs="ArialUnicodeMS"/>
                <w:kern w:val="0"/>
                <w:sz w:val="28"/>
                <w:szCs w:val="28"/>
              </w:rPr>
            </w:pPr>
            <w:r>
              <w:rPr>
                <w:rFonts w:hint="eastAsia" w:ascii="??_GB2312" w:hAnsi="Cambria" w:cs="ArialUnicodeMS"/>
                <w:kern w:val="0"/>
                <w:sz w:val="28"/>
                <w:szCs w:val="28"/>
              </w:rPr>
              <w:t>财政拨款</w:t>
            </w:r>
          </w:p>
        </w:tc>
      </w:tr>
    </w:tbl>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第二部分</w:t>
      </w:r>
    </w:p>
    <w:p>
      <w:pPr>
        <w:widowControl/>
        <w:spacing w:line="1200" w:lineRule="exact"/>
        <w:jc w:val="center"/>
        <w:rPr>
          <w:color w:val="000000"/>
          <w:sz w:val="72"/>
          <w:szCs w:val="96"/>
        </w:rPr>
      </w:pPr>
      <w:r>
        <w:rPr>
          <w:rFonts w:ascii="黑体" w:hAnsi="宋体" w:eastAsia="黑体"/>
          <w:color w:val="000000"/>
          <w:sz w:val="72"/>
          <w:szCs w:val="96"/>
        </w:rPr>
        <w:t>2018</w:t>
      </w:r>
      <w:r>
        <w:rPr>
          <w:rFonts w:hint="eastAsia" w:ascii="黑体" w:hAnsi="宋体" w:eastAsia="黑体"/>
          <w:color w:val="000000"/>
          <w:sz w:val="72"/>
          <w:szCs w:val="96"/>
        </w:rPr>
        <w:t>年度部门决算报表</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2"/>
        <w:tblW w:w="9300" w:type="dxa"/>
        <w:jc w:val="center"/>
        <w:tblLayout w:type="fixed"/>
        <w:tblCellMar>
          <w:top w:w="0" w:type="dxa"/>
          <w:left w:w="0" w:type="dxa"/>
          <w:bottom w:w="0" w:type="dxa"/>
          <w:right w:w="0" w:type="dxa"/>
        </w:tblCellMar>
      </w:tblPr>
      <w:tblGrid>
        <w:gridCol w:w="2958"/>
        <w:gridCol w:w="420"/>
        <w:gridCol w:w="1225"/>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958"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420"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225"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418" w:hRule="atLeast"/>
          <w:jc w:val="center"/>
        </w:trPr>
        <w:tc>
          <w:tcPr>
            <w:tcW w:w="2958" w:type="dxa"/>
            <w:tcBorders>
              <w:top w:val="nil"/>
              <w:left w:val="nil"/>
              <w:bottom w:val="nil"/>
              <w:right w:val="nil"/>
            </w:tcBorders>
            <w:tcMar>
              <w:top w:w="15" w:type="dxa"/>
              <w:left w:w="15" w:type="dxa"/>
              <w:right w:w="15" w:type="dxa"/>
            </w:tcMar>
            <w:vAlign w:val="center"/>
          </w:tcPr>
          <w:p>
            <w:pPr>
              <w:widowControl/>
              <w:spacing w:after="0" w:line="240" w:lineRule="exact"/>
              <w:jc w:val="left"/>
              <w:textAlignment w:val="center"/>
              <w:rPr>
                <w:rFonts w:ascii="宋体" w:cs="宋体"/>
                <w:color w:val="000000"/>
                <w:sz w:val="20"/>
                <w:szCs w:val="20"/>
              </w:rPr>
            </w:pPr>
            <w:r>
              <w:rPr>
                <w:rFonts w:hint="eastAsia" w:ascii="宋体" w:hAnsi="宋体" w:cs="宋体"/>
                <w:color w:val="000000"/>
                <w:kern w:val="0"/>
                <w:sz w:val="20"/>
                <w:szCs w:val="20"/>
              </w:rPr>
              <w:t>部门：霸州市安全生产监督管理局</w:t>
            </w:r>
          </w:p>
        </w:tc>
        <w:tc>
          <w:tcPr>
            <w:tcW w:w="420"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225"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一、财政拨款收入</w:t>
            </w: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1318.82</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二、上级补助收入</w:t>
            </w: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三、事业收入</w:t>
            </w: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四、经营收入</w:t>
            </w: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五、附属单位上缴收入</w:t>
            </w: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六、其他收入</w:t>
            </w: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6</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0.09</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7</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8</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0.09</w:t>
            </w: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9</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10</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10.01</w:t>
            </w: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11</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12</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13</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14</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1289.94</w:t>
            </w: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15</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16</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17</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19</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20</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21</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22</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23</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24</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ascii="宋体" w:cs="宋体"/>
                <w:color w:val="000000"/>
                <w:sz w:val="18"/>
                <w:szCs w:val="18"/>
              </w:rPr>
              <w:t>1318.91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1300.03</w:t>
            </w:r>
          </w:p>
        </w:tc>
      </w:tr>
      <w:tr>
        <w:tblPrEx>
          <w:tblCellMar>
            <w:top w:w="0" w:type="dxa"/>
            <w:left w:w="0" w:type="dxa"/>
            <w:bottom w:w="0" w:type="dxa"/>
            <w:right w:w="0" w:type="dxa"/>
          </w:tblCellMar>
        </w:tblPrEx>
        <w:trPr>
          <w:trHeight w:val="385"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用事业基金弥补收支差额</w:t>
            </w: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25</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年初结转和结余</w:t>
            </w: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26</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ascii="宋体" w:cs="宋体"/>
                <w:color w:val="000000"/>
                <w:sz w:val="18"/>
                <w:szCs w:val="18"/>
              </w:rPr>
              <w:t>0.65</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19.53</w:t>
            </w:r>
          </w:p>
        </w:tc>
      </w:tr>
      <w:tr>
        <w:tblPrEx>
          <w:tblCellMar>
            <w:top w:w="0" w:type="dxa"/>
            <w:left w:w="0" w:type="dxa"/>
            <w:bottom w:w="0" w:type="dxa"/>
            <w:right w:w="0" w:type="dxa"/>
          </w:tblCellMar>
        </w:tblPrEx>
        <w:trPr>
          <w:trHeight w:val="337" w:hRule="atLeast"/>
          <w:jc w:val="center"/>
        </w:trPr>
        <w:tc>
          <w:tcPr>
            <w:tcW w:w="2958"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4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27</w:t>
            </w:r>
          </w:p>
        </w:tc>
        <w:tc>
          <w:tcPr>
            <w:tcW w:w="12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ascii="宋体" w:cs="宋体"/>
                <w:color w:val="000000"/>
                <w:sz w:val="18"/>
                <w:szCs w:val="18"/>
              </w:rPr>
              <w:t>1319.56</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1319.56</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_GB2312" w:hAnsi="宋体" w:eastAsia="Times New Roman"/>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90" w:type="dxa"/>
        <w:jc w:val="center"/>
        <w:tblLayout w:type="fixed"/>
        <w:tblCellMar>
          <w:top w:w="0" w:type="dxa"/>
          <w:left w:w="0" w:type="dxa"/>
          <w:bottom w:w="0" w:type="dxa"/>
          <w:right w:w="0" w:type="dxa"/>
        </w:tblCellMar>
      </w:tblPr>
      <w:tblGrid>
        <w:gridCol w:w="525"/>
        <w:gridCol w:w="179"/>
        <w:gridCol w:w="104"/>
        <w:gridCol w:w="1890"/>
        <w:gridCol w:w="377"/>
        <w:gridCol w:w="260"/>
        <w:gridCol w:w="203"/>
        <w:gridCol w:w="612"/>
        <w:gridCol w:w="232"/>
        <w:gridCol w:w="584"/>
        <w:gridCol w:w="337"/>
        <w:gridCol w:w="478"/>
        <w:gridCol w:w="442"/>
        <w:gridCol w:w="373"/>
        <w:gridCol w:w="548"/>
        <w:gridCol w:w="920"/>
        <w:gridCol w:w="926"/>
      </w:tblGrid>
      <w:tr>
        <w:tblPrEx>
          <w:tblCellMar>
            <w:top w:w="0" w:type="dxa"/>
            <w:left w:w="0" w:type="dxa"/>
            <w:bottom w:w="0" w:type="dxa"/>
            <w:right w:w="0" w:type="dxa"/>
          </w:tblCellMar>
        </w:tblPrEx>
        <w:trPr>
          <w:trHeight w:val="770" w:hRule="atLeast"/>
          <w:jc w:val="center"/>
        </w:trPr>
        <w:tc>
          <w:tcPr>
            <w:tcW w:w="8990" w:type="dxa"/>
            <w:gridSpan w:val="17"/>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CellMar>
            <w:top w:w="0" w:type="dxa"/>
            <w:left w:w="0" w:type="dxa"/>
            <w:bottom w:w="0" w:type="dxa"/>
            <w:right w:w="0" w:type="dxa"/>
          </w:tblCellMar>
        </w:tblPrEx>
        <w:trPr>
          <w:trHeight w:val="362" w:hRule="atLeast"/>
          <w:jc w:val="center"/>
        </w:trPr>
        <w:tc>
          <w:tcPr>
            <w:tcW w:w="52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04"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7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02</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62" w:hRule="atLeast"/>
          <w:jc w:val="center"/>
        </w:trPr>
        <w:tc>
          <w:tcPr>
            <w:tcW w:w="3075"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部门：霸州市安全生产监督管理局</w:t>
            </w:r>
          </w:p>
        </w:tc>
        <w:tc>
          <w:tcPr>
            <w:tcW w:w="26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2698"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840" w:type="dxa"/>
            <w:gridSpan w:val="3"/>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844"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财政拨款收入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上级补助收入</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事业收入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80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1890" w:type="dxa"/>
            <w:tcBorders>
              <w:top w:val="nil"/>
              <w:left w:val="nil"/>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840" w:type="dxa"/>
            <w:gridSpan w:val="3"/>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 w:val="20"/>
                <w:szCs w:val="20"/>
              </w:rPr>
            </w:pPr>
          </w:p>
        </w:tc>
        <w:tc>
          <w:tcPr>
            <w:tcW w:w="844"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269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8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8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r>
      <w:tr>
        <w:tblPrEx>
          <w:tblCellMar>
            <w:top w:w="0" w:type="dxa"/>
            <w:left w:w="0" w:type="dxa"/>
            <w:bottom w:w="0" w:type="dxa"/>
            <w:right w:w="0" w:type="dxa"/>
          </w:tblCellMar>
        </w:tblPrEx>
        <w:trPr>
          <w:trHeight w:val="90" w:hRule="atLeast"/>
          <w:jc w:val="center"/>
        </w:trPr>
        <w:tc>
          <w:tcPr>
            <w:tcW w:w="269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840"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r>
              <w:rPr>
                <w:rFonts w:ascii="宋体" w:cs="宋体"/>
                <w:b/>
                <w:color w:val="000000"/>
                <w:sz w:val="18"/>
                <w:szCs w:val="18"/>
              </w:rPr>
              <w:t>1318.91</w:t>
            </w:r>
          </w:p>
        </w:tc>
        <w:tc>
          <w:tcPr>
            <w:tcW w:w="844"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r>
              <w:rPr>
                <w:rFonts w:ascii="宋体" w:cs="宋体"/>
                <w:b/>
                <w:color w:val="000000"/>
                <w:sz w:val="18"/>
                <w:szCs w:val="18"/>
              </w:rPr>
              <w:t>1318.82</w:t>
            </w:r>
          </w:p>
        </w:tc>
        <w:tc>
          <w:tcPr>
            <w:tcW w:w="921"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0"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6"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r>
              <w:rPr>
                <w:rFonts w:ascii="宋体" w:cs="宋体"/>
                <w:b/>
                <w:color w:val="000000"/>
                <w:sz w:val="18"/>
                <w:szCs w:val="18"/>
              </w:rPr>
              <w:t>0.09</w:t>
            </w:r>
          </w:p>
        </w:tc>
      </w:tr>
      <w:tr>
        <w:tblPrEx>
          <w:tblCellMar>
            <w:top w:w="0" w:type="dxa"/>
            <w:left w:w="0" w:type="dxa"/>
            <w:bottom w:w="0" w:type="dxa"/>
            <w:right w:w="0" w:type="dxa"/>
          </w:tblCellMar>
        </w:tblPrEx>
        <w:trPr>
          <w:trHeight w:val="284" w:hRule="atLeast"/>
          <w:jc w:val="center"/>
        </w:trPr>
        <w:tc>
          <w:tcPr>
            <w:tcW w:w="8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208</w:t>
            </w:r>
          </w:p>
        </w:tc>
        <w:tc>
          <w:tcPr>
            <w:tcW w:w="189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hint="eastAsia" w:ascii="宋体" w:hAnsi="宋体" w:cs="宋体"/>
                <w:color w:val="000000"/>
                <w:kern w:val="0"/>
                <w:sz w:val="20"/>
                <w:szCs w:val="20"/>
              </w:rPr>
              <w:t>社会保障和就业支出</w:t>
            </w:r>
          </w:p>
        </w:tc>
        <w:tc>
          <w:tcPr>
            <w:tcW w:w="84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0.09</w:t>
            </w:r>
          </w:p>
        </w:tc>
        <w:tc>
          <w:tcPr>
            <w:tcW w:w="84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kern w:val="0"/>
                <w:sz w:val="20"/>
                <w:szCs w:val="20"/>
              </w:rPr>
            </w:pPr>
            <w:r>
              <w:rPr>
                <w:rFonts w:ascii="宋体" w:hAnsi="宋体" w:cs="宋体"/>
                <w:color w:val="000000"/>
                <w:kern w:val="0"/>
                <w:sz w:val="20"/>
                <w:szCs w:val="20"/>
              </w:rPr>
              <w:t>0.09</w:t>
            </w:r>
          </w:p>
        </w:tc>
      </w:tr>
      <w:tr>
        <w:tblPrEx>
          <w:tblCellMar>
            <w:top w:w="0" w:type="dxa"/>
            <w:left w:w="0" w:type="dxa"/>
            <w:bottom w:w="0" w:type="dxa"/>
            <w:right w:w="0" w:type="dxa"/>
          </w:tblCellMar>
        </w:tblPrEx>
        <w:trPr>
          <w:trHeight w:val="395" w:hRule="atLeast"/>
          <w:jc w:val="center"/>
        </w:trPr>
        <w:tc>
          <w:tcPr>
            <w:tcW w:w="8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20802</w:t>
            </w:r>
          </w:p>
        </w:tc>
        <w:tc>
          <w:tcPr>
            <w:tcW w:w="189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hint="eastAsia" w:ascii="宋体" w:hAnsi="宋体" w:cs="宋体"/>
                <w:color w:val="000000"/>
                <w:kern w:val="0"/>
                <w:sz w:val="20"/>
                <w:szCs w:val="20"/>
              </w:rPr>
              <w:t>民政管理事务</w:t>
            </w:r>
          </w:p>
        </w:tc>
        <w:tc>
          <w:tcPr>
            <w:tcW w:w="84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0.09</w:t>
            </w:r>
          </w:p>
        </w:tc>
        <w:tc>
          <w:tcPr>
            <w:tcW w:w="84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kern w:val="0"/>
                <w:sz w:val="20"/>
                <w:szCs w:val="20"/>
              </w:rPr>
            </w:pPr>
            <w:r>
              <w:rPr>
                <w:rFonts w:ascii="宋体" w:hAnsi="宋体" w:cs="宋体"/>
                <w:color w:val="000000"/>
                <w:kern w:val="0"/>
                <w:sz w:val="20"/>
                <w:szCs w:val="20"/>
              </w:rPr>
              <w:t>0.09</w:t>
            </w:r>
          </w:p>
        </w:tc>
      </w:tr>
      <w:tr>
        <w:tblPrEx>
          <w:tblCellMar>
            <w:top w:w="0" w:type="dxa"/>
            <w:left w:w="0" w:type="dxa"/>
            <w:bottom w:w="0" w:type="dxa"/>
            <w:right w:w="0" w:type="dxa"/>
          </w:tblCellMar>
        </w:tblPrEx>
        <w:trPr>
          <w:cantSplit/>
          <w:trHeight w:val="340" w:hRule="atLeast"/>
          <w:jc w:val="center"/>
        </w:trPr>
        <w:tc>
          <w:tcPr>
            <w:tcW w:w="8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2080204</w:t>
            </w:r>
          </w:p>
        </w:tc>
        <w:tc>
          <w:tcPr>
            <w:tcW w:w="189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拥军优属</w:t>
            </w:r>
          </w:p>
        </w:tc>
        <w:tc>
          <w:tcPr>
            <w:tcW w:w="84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0.09</w:t>
            </w:r>
          </w:p>
        </w:tc>
        <w:tc>
          <w:tcPr>
            <w:tcW w:w="84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kern w:val="0"/>
                <w:sz w:val="20"/>
                <w:szCs w:val="20"/>
              </w:rPr>
            </w:pPr>
            <w:r>
              <w:rPr>
                <w:rFonts w:ascii="宋体" w:hAnsi="宋体" w:cs="宋体"/>
                <w:color w:val="000000"/>
                <w:kern w:val="0"/>
                <w:sz w:val="20"/>
                <w:szCs w:val="20"/>
              </w:rPr>
              <w:t>0.09</w:t>
            </w:r>
          </w:p>
        </w:tc>
      </w:tr>
      <w:tr>
        <w:tblPrEx>
          <w:tblCellMar>
            <w:top w:w="0" w:type="dxa"/>
            <w:left w:w="0" w:type="dxa"/>
            <w:bottom w:w="0" w:type="dxa"/>
            <w:right w:w="0" w:type="dxa"/>
          </w:tblCellMar>
        </w:tblPrEx>
        <w:trPr>
          <w:cantSplit/>
          <w:trHeight w:val="340" w:hRule="atLeast"/>
          <w:jc w:val="center"/>
        </w:trPr>
        <w:tc>
          <w:tcPr>
            <w:tcW w:w="8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211</w:t>
            </w:r>
          </w:p>
        </w:tc>
        <w:tc>
          <w:tcPr>
            <w:tcW w:w="189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hint="eastAsia" w:ascii="宋体" w:hAnsi="宋体" w:cs="宋体"/>
                <w:color w:val="000000"/>
                <w:kern w:val="0"/>
                <w:sz w:val="20"/>
                <w:szCs w:val="20"/>
              </w:rPr>
              <w:t>节能环保支出</w:t>
            </w:r>
          </w:p>
        </w:tc>
        <w:tc>
          <w:tcPr>
            <w:tcW w:w="84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10.01</w:t>
            </w:r>
          </w:p>
        </w:tc>
        <w:tc>
          <w:tcPr>
            <w:tcW w:w="84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10.01</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cantSplit/>
          <w:trHeight w:val="340" w:hRule="atLeast"/>
          <w:jc w:val="center"/>
        </w:trPr>
        <w:tc>
          <w:tcPr>
            <w:tcW w:w="8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21103</w:t>
            </w:r>
          </w:p>
        </w:tc>
        <w:tc>
          <w:tcPr>
            <w:tcW w:w="189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hint="eastAsia" w:ascii="宋体" w:hAnsi="宋体" w:cs="宋体"/>
                <w:color w:val="000000"/>
                <w:kern w:val="0"/>
                <w:sz w:val="20"/>
                <w:szCs w:val="20"/>
              </w:rPr>
              <w:t>污染防治</w:t>
            </w:r>
          </w:p>
        </w:tc>
        <w:tc>
          <w:tcPr>
            <w:tcW w:w="84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10.01</w:t>
            </w:r>
          </w:p>
        </w:tc>
        <w:tc>
          <w:tcPr>
            <w:tcW w:w="84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10.01</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cantSplit/>
          <w:trHeight w:val="340" w:hRule="atLeast"/>
          <w:jc w:val="center"/>
        </w:trPr>
        <w:tc>
          <w:tcPr>
            <w:tcW w:w="8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2110301</w:t>
            </w:r>
          </w:p>
        </w:tc>
        <w:tc>
          <w:tcPr>
            <w:tcW w:w="189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大气</w:t>
            </w:r>
          </w:p>
        </w:tc>
        <w:tc>
          <w:tcPr>
            <w:tcW w:w="84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10.01</w:t>
            </w:r>
          </w:p>
        </w:tc>
        <w:tc>
          <w:tcPr>
            <w:tcW w:w="84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10.01</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cantSplit/>
          <w:trHeight w:val="340" w:hRule="atLeast"/>
          <w:jc w:val="center"/>
        </w:trPr>
        <w:tc>
          <w:tcPr>
            <w:tcW w:w="8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215</w:t>
            </w:r>
          </w:p>
        </w:tc>
        <w:tc>
          <w:tcPr>
            <w:tcW w:w="189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hint="eastAsia" w:ascii="宋体" w:hAnsi="宋体" w:cs="宋体"/>
                <w:color w:val="000000"/>
                <w:kern w:val="0"/>
                <w:sz w:val="20"/>
                <w:szCs w:val="20"/>
              </w:rPr>
              <w:t>资源勘探信息等支出</w:t>
            </w:r>
          </w:p>
        </w:tc>
        <w:tc>
          <w:tcPr>
            <w:tcW w:w="84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1308.81</w:t>
            </w:r>
          </w:p>
        </w:tc>
        <w:tc>
          <w:tcPr>
            <w:tcW w:w="84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1308.81</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cantSplit/>
          <w:trHeight w:val="340" w:hRule="atLeast"/>
          <w:jc w:val="center"/>
        </w:trPr>
        <w:tc>
          <w:tcPr>
            <w:tcW w:w="8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21506</w:t>
            </w:r>
          </w:p>
        </w:tc>
        <w:tc>
          <w:tcPr>
            <w:tcW w:w="189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hint="eastAsia" w:ascii="宋体" w:hAnsi="宋体" w:cs="宋体"/>
                <w:color w:val="000000"/>
                <w:kern w:val="0"/>
                <w:sz w:val="20"/>
                <w:szCs w:val="20"/>
              </w:rPr>
              <w:t>安全生产监管</w:t>
            </w:r>
          </w:p>
        </w:tc>
        <w:tc>
          <w:tcPr>
            <w:tcW w:w="84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1308.81</w:t>
            </w:r>
          </w:p>
        </w:tc>
        <w:tc>
          <w:tcPr>
            <w:tcW w:w="84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1308.81</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cantSplit/>
          <w:trHeight w:val="340" w:hRule="atLeast"/>
          <w:jc w:val="center"/>
        </w:trPr>
        <w:tc>
          <w:tcPr>
            <w:tcW w:w="8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2150601</w:t>
            </w:r>
          </w:p>
        </w:tc>
        <w:tc>
          <w:tcPr>
            <w:tcW w:w="189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行政运行</w:t>
            </w:r>
          </w:p>
        </w:tc>
        <w:tc>
          <w:tcPr>
            <w:tcW w:w="84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ind w:right="105"/>
              <w:jc w:val="right"/>
              <w:rPr>
                <w:rFonts w:ascii="宋体" w:cs="宋体"/>
                <w:color w:val="000000"/>
                <w:szCs w:val="21"/>
              </w:rPr>
            </w:pPr>
            <w:r>
              <w:rPr>
                <w:rFonts w:ascii="宋体" w:cs="宋体"/>
                <w:color w:val="000000"/>
                <w:szCs w:val="21"/>
              </w:rPr>
              <w:t>853.03</w:t>
            </w:r>
          </w:p>
        </w:tc>
        <w:tc>
          <w:tcPr>
            <w:tcW w:w="84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853.03</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cantSplit/>
          <w:trHeight w:val="65" w:hRule="atLeast"/>
          <w:jc w:val="center"/>
        </w:trPr>
        <w:tc>
          <w:tcPr>
            <w:tcW w:w="8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2150605</w:t>
            </w:r>
          </w:p>
        </w:tc>
        <w:tc>
          <w:tcPr>
            <w:tcW w:w="189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hint="eastAsia" w:ascii="宋体" w:hAnsi="宋体" w:cs="宋体"/>
                <w:color w:val="000000"/>
                <w:kern w:val="0"/>
                <w:sz w:val="20"/>
                <w:szCs w:val="20"/>
              </w:rPr>
              <w:t>安全监管监察专项</w:t>
            </w:r>
          </w:p>
        </w:tc>
        <w:tc>
          <w:tcPr>
            <w:tcW w:w="84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441.79</w:t>
            </w:r>
          </w:p>
        </w:tc>
        <w:tc>
          <w:tcPr>
            <w:tcW w:w="84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441.79</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cantSplit/>
          <w:trHeight w:val="340" w:hRule="atLeast"/>
          <w:jc w:val="center"/>
        </w:trPr>
        <w:tc>
          <w:tcPr>
            <w:tcW w:w="80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2150606</w:t>
            </w:r>
          </w:p>
        </w:tc>
        <w:tc>
          <w:tcPr>
            <w:tcW w:w="1890"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应急救援支出</w:t>
            </w:r>
          </w:p>
        </w:tc>
        <w:tc>
          <w:tcPr>
            <w:tcW w:w="84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14.00</w:t>
            </w:r>
          </w:p>
        </w:tc>
        <w:tc>
          <w:tcPr>
            <w:tcW w:w="84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14.00</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65" w:hRule="atLeast"/>
          <w:jc w:val="center"/>
        </w:trPr>
        <w:tc>
          <w:tcPr>
            <w:tcW w:w="8990" w:type="dxa"/>
            <w:gridSpan w:val="1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_GB2312" w:hAnsi="宋体" w:eastAsia="Times New Roman"/>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85" w:type="dxa"/>
        <w:tblInd w:w="15" w:type="dxa"/>
        <w:tblLayout w:type="fixed"/>
        <w:tblCellMar>
          <w:top w:w="0" w:type="dxa"/>
          <w:left w:w="0" w:type="dxa"/>
          <w:bottom w:w="0" w:type="dxa"/>
          <w:right w:w="0" w:type="dxa"/>
        </w:tblCellMar>
      </w:tblPr>
      <w:tblGrid>
        <w:gridCol w:w="275"/>
        <w:gridCol w:w="289"/>
        <w:gridCol w:w="276"/>
        <w:gridCol w:w="527"/>
        <w:gridCol w:w="1117"/>
        <w:gridCol w:w="351"/>
        <w:gridCol w:w="296"/>
        <w:gridCol w:w="649"/>
        <w:gridCol w:w="469"/>
        <w:gridCol w:w="402"/>
        <w:gridCol w:w="718"/>
        <w:gridCol w:w="365"/>
        <w:gridCol w:w="753"/>
        <w:gridCol w:w="331"/>
        <w:gridCol w:w="789"/>
        <w:gridCol w:w="294"/>
        <w:gridCol w:w="1084"/>
      </w:tblGrid>
      <w:tr>
        <w:tblPrEx>
          <w:tblCellMar>
            <w:top w:w="0" w:type="dxa"/>
            <w:left w:w="0" w:type="dxa"/>
            <w:bottom w:w="0" w:type="dxa"/>
            <w:right w:w="0" w:type="dxa"/>
          </w:tblCellMar>
        </w:tblPrEx>
        <w:trPr>
          <w:trHeight w:val="798" w:hRule="atLeast"/>
        </w:trPr>
        <w:tc>
          <w:tcPr>
            <w:tcW w:w="8985" w:type="dxa"/>
            <w:gridSpan w:val="17"/>
            <w:tcBorders>
              <w:top w:val="nil"/>
              <w:left w:val="nil"/>
              <w:bottom w:val="nil"/>
              <w:right w:val="nil"/>
            </w:tcBorders>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CellMar>
            <w:top w:w="0" w:type="dxa"/>
            <w:left w:w="0" w:type="dxa"/>
            <w:bottom w:w="0" w:type="dxa"/>
            <w:right w:w="0" w:type="dxa"/>
          </w:tblCellMar>
        </w:tblPrEx>
        <w:trPr>
          <w:trHeight w:val="404" w:hRule="atLeast"/>
        </w:trPr>
        <w:tc>
          <w:tcPr>
            <w:tcW w:w="27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03</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80" w:hRule="atLeast"/>
        </w:trPr>
        <w:tc>
          <w:tcPr>
            <w:tcW w:w="3131" w:type="dxa"/>
            <w:gridSpan w:val="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部门：霸州市安全生产监督管理局</w:t>
            </w: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222" w:hRule="atLeast"/>
        </w:trPr>
        <w:tc>
          <w:tcPr>
            <w:tcW w:w="283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项目</w:t>
            </w:r>
          </w:p>
        </w:tc>
        <w:tc>
          <w:tcPr>
            <w:tcW w:w="945"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本年支出合计</w:t>
            </w:r>
          </w:p>
        </w:tc>
        <w:tc>
          <w:tcPr>
            <w:tcW w:w="871"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基本支出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项目支出</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上缴上级支出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经营支出</w:t>
            </w:r>
          </w:p>
        </w:tc>
        <w:tc>
          <w:tcPr>
            <w:tcW w:w="1084"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对附属单位补助支出</w:t>
            </w:r>
          </w:p>
        </w:tc>
      </w:tr>
      <w:tr>
        <w:tblPrEx>
          <w:tblCellMar>
            <w:top w:w="0" w:type="dxa"/>
            <w:left w:w="0" w:type="dxa"/>
            <w:bottom w:w="0" w:type="dxa"/>
            <w:right w:w="0" w:type="dxa"/>
          </w:tblCellMar>
        </w:tblPrEx>
        <w:trPr>
          <w:trHeight w:val="782" w:hRule="atLeast"/>
        </w:trPr>
        <w:tc>
          <w:tcPr>
            <w:tcW w:w="1367"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功能分类科目编码</w:t>
            </w:r>
          </w:p>
        </w:tc>
        <w:tc>
          <w:tcPr>
            <w:tcW w:w="146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科目名称</w:t>
            </w:r>
          </w:p>
        </w:tc>
        <w:tc>
          <w:tcPr>
            <w:tcW w:w="945"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871"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4" w:type="dxa"/>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175" w:hRule="atLeast"/>
        </w:trPr>
        <w:tc>
          <w:tcPr>
            <w:tcW w:w="283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栏次</w:t>
            </w:r>
          </w:p>
        </w:tc>
        <w:tc>
          <w:tcPr>
            <w:tcW w:w="9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871"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5</w:t>
            </w: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20" w:hRule="atLeast"/>
        </w:trPr>
        <w:tc>
          <w:tcPr>
            <w:tcW w:w="283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合计</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1300.03</w:t>
            </w:r>
          </w:p>
        </w:tc>
        <w:tc>
          <w:tcPr>
            <w:tcW w:w="87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834.24</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465.79</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r>
      <w:tr>
        <w:tblPrEx>
          <w:tblCellMar>
            <w:top w:w="0" w:type="dxa"/>
            <w:left w:w="0" w:type="dxa"/>
            <w:bottom w:w="0" w:type="dxa"/>
            <w:right w:w="0" w:type="dxa"/>
          </w:tblCellMar>
        </w:tblPrEx>
        <w:trPr>
          <w:trHeight w:val="284" w:hRule="atLeast"/>
        </w:trPr>
        <w:tc>
          <w:tcPr>
            <w:tcW w:w="84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208</w:t>
            </w:r>
          </w:p>
        </w:tc>
        <w:tc>
          <w:tcPr>
            <w:tcW w:w="199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hint="eastAsia" w:ascii="宋体" w:hAnsi="宋体" w:cs="宋体"/>
                <w:color w:val="000000"/>
                <w:kern w:val="0"/>
                <w:sz w:val="20"/>
                <w:szCs w:val="20"/>
              </w:rPr>
              <w:t>社会保障和就业支出</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0.09</w:t>
            </w:r>
          </w:p>
        </w:tc>
        <w:tc>
          <w:tcPr>
            <w:tcW w:w="87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0.09</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284" w:hRule="atLeast"/>
        </w:trPr>
        <w:tc>
          <w:tcPr>
            <w:tcW w:w="84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20802</w:t>
            </w:r>
          </w:p>
        </w:tc>
        <w:tc>
          <w:tcPr>
            <w:tcW w:w="199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hint="eastAsia" w:ascii="宋体" w:hAnsi="宋体" w:cs="宋体"/>
                <w:color w:val="000000"/>
                <w:kern w:val="0"/>
                <w:sz w:val="20"/>
                <w:szCs w:val="20"/>
              </w:rPr>
              <w:t>民政管理事务</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0.09</w:t>
            </w:r>
          </w:p>
        </w:tc>
        <w:tc>
          <w:tcPr>
            <w:tcW w:w="87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0.09</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284" w:hRule="atLeast"/>
        </w:trPr>
        <w:tc>
          <w:tcPr>
            <w:tcW w:w="84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2080204</w:t>
            </w:r>
          </w:p>
        </w:tc>
        <w:tc>
          <w:tcPr>
            <w:tcW w:w="199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拥军优属</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0.09</w:t>
            </w:r>
          </w:p>
        </w:tc>
        <w:tc>
          <w:tcPr>
            <w:tcW w:w="87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0.09</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284" w:hRule="atLeast"/>
        </w:trPr>
        <w:tc>
          <w:tcPr>
            <w:tcW w:w="84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211</w:t>
            </w:r>
          </w:p>
        </w:tc>
        <w:tc>
          <w:tcPr>
            <w:tcW w:w="199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hint="eastAsia" w:ascii="宋体" w:hAnsi="宋体" w:cs="宋体"/>
                <w:color w:val="000000"/>
                <w:kern w:val="0"/>
                <w:sz w:val="20"/>
                <w:szCs w:val="20"/>
              </w:rPr>
              <w:t>节能环保支出</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10.01</w:t>
            </w:r>
          </w:p>
        </w:tc>
        <w:tc>
          <w:tcPr>
            <w:tcW w:w="87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10.01</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284" w:hRule="atLeast"/>
        </w:trPr>
        <w:tc>
          <w:tcPr>
            <w:tcW w:w="84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21103</w:t>
            </w:r>
          </w:p>
        </w:tc>
        <w:tc>
          <w:tcPr>
            <w:tcW w:w="199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hint="eastAsia" w:ascii="宋体" w:hAnsi="宋体" w:cs="宋体"/>
                <w:color w:val="000000"/>
                <w:kern w:val="0"/>
                <w:sz w:val="20"/>
                <w:szCs w:val="20"/>
              </w:rPr>
              <w:t>污染防治</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10.01</w:t>
            </w:r>
          </w:p>
        </w:tc>
        <w:tc>
          <w:tcPr>
            <w:tcW w:w="87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10.01</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284" w:hRule="atLeast"/>
        </w:trPr>
        <w:tc>
          <w:tcPr>
            <w:tcW w:w="84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2110301</w:t>
            </w:r>
          </w:p>
        </w:tc>
        <w:tc>
          <w:tcPr>
            <w:tcW w:w="199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大气</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10.01</w:t>
            </w:r>
          </w:p>
        </w:tc>
        <w:tc>
          <w:tcPr>
            <w:tcW w:w="87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10.01</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284" w:hRule="atLeast"/>
        </w:trPr>
        <w:tc>
          <w:tcPr>
            <w:tcW w:w="84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215</w:t>
            </w:r>
          </w:p>
        </w:tc>
        <w:tc>
          <w:tcPr>
            <w:tcW w:w="199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hint="eastAsia" w:ascii="宋体" w:hAnsi="宋体" w:cs="宋体"/>
                <w:color w:val="000000"/>
                <w:kern w:val="0"/>
                <w:sz w:val="20"/>
                <w:szCs w:val="20"/>
              </w:rPr>
              <w:t>资源勘探信息等支出</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1,289.94</w:t>
            </w:r>
          </w:p>
        </w:tc>
        <w:tc>
          <w:tcPr>
            <w:tcW w:w="87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834.15</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455.79</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284" w:hRule="atLeast"/>
        </w:trPr>
        <w:tc>
          <w:tcPr>
            <w:tcW w:w="84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21506</w:t>
            </w:r>
          </w:p>
        </w:tc>
        <w:tc>
          <w:tcPr>
            <w:tcW w:w="199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hint="eastAsia" w:ascii="宋体" w:hAnsi="宋体" w:cs="宋体"/>
                <w:color w:val="000000"/>
                <w:kern w:val="0"/>
                <w:sz w:val="20"/>
                <w:szCs w:val="20"/>
              </w:rPr>
              <w:t>安全生产监管</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1,289.94</w:t>
            </w:r>
          </w:p>
        </w:tc>
        <w:tc>
          <w:tcPr>
            <w:tcW w:w="87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834.15</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455.79</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284" w:hRule="atLeast"/>
        </w:trPr>
        <w:tc>
          <w:tcPr>
            <w:tcW w:w="84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2150601</w:t>
            </w:r>
          </w:p>
        </w:tc>
        <w:tc>
          <w:tcPr>
            <w:tcW w:w="199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行政运行</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834.15</w:t>
            </w:r>
          </w:p>
        </w:tc>
        <w:tc>
          <w:tcPr>
            <w:tcW w:w="87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834.15</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284" w:hRule="atLeast"/>
        </w:trPr>
        <w:tc>
          <w:tcPr>
            <w:tcW w:w="84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2150605</w:t>
            </w:r>
          </w:p>
        </w:tc>
        <w:tc>
          <w:tcPr>
            <w:tcW w:w="199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安全监管监察专项</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441.79</w:t>
            </w:r>
          </w:p>
        </w:tc>
        <w:tc>
          <w:tcPr>
            <w:tcW w:w="87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441.79</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65" w:hRule="atLeast"/>
        </w:trPr>
        <w:tc>
          <w:tcPr>
            <w:tcW w:w="84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2150606</w:t>
            </w:r>
          </w:p>
        </w:tc>
        <w:tc>
          <w:tcPr>
            <w:tcW w:w="199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宋体"/>
                <w:color w:val="000000"/>
                <w:kern w:val="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应急救援支出</w:t>
            </w: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14.00</w:t>
            </w:r>
          </w:p>
        </w:tc>
        <w:tc>
          <w:tcPr>
            <w:tcW w:w="87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14.00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65" w:hRule="atLeast"/>
        </w:trPr>
        <w:tc>
          <w:tcPr>
            <w:tcW w:w="8985" w:type="dxa"/>
            <w:gridSpan w:val="1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0" w:firstLineChars="200"/>
        <w:jc w:val="left"/>
        <w:rPr>
          <w:rFonts w:ascii="??_GB2312" w:hAnsi="宋体" w:eastAsia="Times New Roman"/>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04</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20"/>
                <w:szCs w:val="20"/>
              </w:rPr>
            </w:pPr>
            <w:r>
              <w:rPr>
                <w:rFonts w:hint="eastAsia" w:ascii="宋体" w:hAnsi="宋体" w:cs="宋体"/>
                <w:color w:val="000000"/>
                <w:kern w:val="0"/>
                <w:sz w:val="20"/>
                <w:szCs w:val="20"/>
              </w:rPr>
              <w:t>部门：霸州市安全生产监督管理局</w:t>
            </w: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收</w:t>
            </w:r>
            <w:r>
              <w:rPr>
                <w:rFonts w:ascii="宋体" w:hAnsi="宋体" w:cs="宋体"/>
                <w:color w:val="000000"/>
                <w:kern w:val="0"/>
                <w:sz w:val="20"/>
                <w:szCs w:val="20"/>
              </w:rPr>
              <w:t xml:space="preserve">     </w:t>
            </w:r>
            <w:r>
              <w:rPr>
                <w:rFonts w:hint="eastAsia" w:ascii="宋体" w:hAnsi="宋体" w:cs="宋体"/>
                <w:color w:val="000000"/>
                <w:kern w:val="0"/>
                <w:sz w:val="20"/>
                <w:szCs w:val="20"/>
              </w:rPr>
              <w:t>入</w:t>
            </w:r>
          </w:p>
        </w:tc>
        <w:tc>
          <w:tcPr>
            <w:tcW w:w="6153"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支</w:t>
            </w:r>
            <w:r>
              <w:rPr>
                <w:rFonts w:ascii="宋体" w:hAnsi="宋体" w:cs="宋体"/>
                <w:color w:val="000000"/>
                <w:kern w:val="0"/>
                <w:sz w:val="20"/>
                <w:szCs w:val="20"/>
              </w:rPr>
              <w:t xml:space="preserve">     </w:t>
            </w:r>
            <w:r>
              <w:rPr>
                <w:rFonts w:hint="eastAsia" w:ascii="宋体" w:hAnsi="宋体" w:cs="宋体"/>
                <w:color w:val="000000"/>
                <w:kern w:val="0"/>
                <w:sz w:val="20"/>
                <w:szCs w:val="20"/>
              </w:rPr>
              <w:t>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1318.82</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10.01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10.01</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1289.94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1289.94</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1318.82</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1299.94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1299.94</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0.65</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19.53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19.53</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一般公共预算财政拨款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0.65</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1319.47</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1319.47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1319.47</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_GB2312" w:hAnsi="宋体" w:eastAsia="Times New Roman"/>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50" w:type="dxa"/>
        <w:tblInd w:w="-90" w:type="dxa"/>
        <w:tblLayout w:type="fixed"/>
        <w:tblCellMar>
          <w:top w:w="0" w:type="dxa"/>
          <w:left w:w="0" w:type="dxa"/>
          <w:bottom w:w="0" w:type="dxa"/>
          <w:right w:w="0" w:type="dxa"/>
        </w:tblCellMar>
      </w:tblPr>
      <w:tblGrid>
        <w:gridCol w:w="407"/>
        <w:gridCol w:w="319"/>
        <w:gridCol w:w="357"/>
        <w:gridCol w:w="2109"/>
        <w:gridCol w:w="745"/>
        <w:gridCol w:w="1174"/>
        <w:gridCol w:w="718"/>
        <w:gridCol w:w="1201"/>
        <w:gridCol w:w="1920"/>
      </w:tblGrid>
      <w:tr>
        <w:tblPrEx>
          <w:tblCellMar>
            <w:top w:w="0" w:type="dxa"/>
            <w:left w:w="0" w:type="dxa"/>
            <w:bottom w:w="0" w:type="dxa"/>
            <w:right w:w="0" w:type="dxa"/>
          </w:tblCellMar>
        </w:tblPrEx>
        <w:trPr>
          <w:trHeight w:val="600" w:hRule="atLeast"/>
        </w:trPr>
        <w:tc>
          <w:tcPr>
            <w:tcW w:w="8950" w:type="dxa"/>
            <w:gridSpan w:val="9"/>
            <w:tcBorders>
              <w:top w:val="nil"/>
              <w:left w:val="nil"/>
              <w:bottom w:val="nil"/>
              <w:right w:val="nil"/>
            </w:tcBorders>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CellMar>
            <w:top w:w="0" w:type="dxa"/>
            <w:left w:w="0" w:type="dxa"/>
            <w:bottom w:w="0" w:type="dxa"/>
            <w:right w:w="0" w:type="dxa"/>
          </w:tblCellMar>
        </w:tblPrEx>
        <w:trPr>
          <w:trHeight w:val="334" w:hRule="atLeast"/>
        </w:trPr>
        <w:tc>
          <w:tcPr>
            <w:tcW w:w="40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05</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34" w:hRule="atLeast"/>
        </w:trPr>
        <w:tc>
          <w:tcPr>
            <w:tcW w:w="3937"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部门：霸州市安全生产监督管理局</w:t>
            </w: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19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108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108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12" w:hRule="atLeast"/>
        </w:trPr>
        <w:tc>
          <w:tcPr>
            <w:tcW w:w="108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68" w:hRule="atLeast"/>
        </w:trPr>
        <w:tc>
          <w:tcPr>
            <w:tcW w:w="319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r>
      <w:tr>
        <w:tblPrEx>
          <w:tblCellMar>
            <w:top w:w="0" w:type="dxa"/>
            <w:left w:w="0" w:type="dxa"/>
            <w:bottom w:w="0" w:type="dxa"/>
            <w:right w:w="0" w:type="dxa"/>
          </w:tblCellMar>
        </w:tblPrEx>
        <w:trPr>
          <w:trHeight w:val="448" w:hRule="atLeast"/>
        </w:trPr>
        <w:tc>
          <w:tcPr>
            <w:tcW w:w="319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Arial"/>
                <w:b/>
                <w:bCs/>
                <w:color w:val="000000"/>
                <w:sz w:val="22"/>
                <w:szCs w:val="22"/>
              </w:rPr>
            </w:pPr>
            <w:r>
              <w:rPr>
                <w:rFonts w:cs="Arial"/>
                <w:b/>
                <w:bCs/>
                <w:color w:val="000000"/>
                <w:sz w:val="22"/>
                <w:szCs w:val="22"/>
              </w:rPr>
              <w:t>1,299.94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Arial"/>
                <w:b/>
                <w:bCs/>
                <w:color w:val="000000"/>
                <w:sz w:val="22"/>
                <w:szCs w:val="22"/>
              </w:rPr>
            </w:pPr>
            <w:r>
              <w:rPr>
                <w:rFonts w:cs="Arial"/>
                <w:b/>
                <w:bCs/>
                <w:color w:val="000000"/>
                <w:sz w:val="22"/>
                <w:szCs w:val="22"/>
              </w:rPr>
              <w:t>834.15</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cs="Arial"/>
                <w:b/>
                <w:bCs/>
                <w:color w:val="000000"/>
                <w:sz w:val="22"/>
                <w:szCs w:val="22"/>
              </w:rPr>
            </w:pPr>
            <w:r>
              <w:rPr>
                <w:rFonts w:cs="Arial"/>
                <w:b/>
                <w:bCs/>
                <w:color w:val="000000"/>
                <w:sz w:val="22"/>
                <w:szCs w:val="22"/>
              </w:rPr>
              <w:t>465.79</w:t>
            </w:r>
          </w:p>
        </w:tc>
      </w:tr>
      <w:tr>
        <w:tblPrEx>
          <w:tblCellMar>
            <w:top w:w="0" w:type="dxa"/>
            <w:left w:w="0" w:type="dxa"/>
            <w:bottom w:w="0" w:type="dxa"/>
            <w:right w:w="0" w:type="dxa"/>
          </w:tblCellMar>
        </w:tblPrEx>
        <w:trPr>
          <w:trHeight w:val="368" w:hRule="atLeast"/>
        </w:trPr>
        <w:tc>
          <w:tcPr>
            <w:tcW w:w="108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Arial"/>
                <w:color w:val="000000"/>
                <w:sz w:val="22"/>
                <w:szCs w:val="22"/>
              </w:rPr>
            </w:pPr>
            <w:r>
              <w:rPr>
                <w:rFonts w:cs="Arial"/>
                <w:color w:val="000000"/>
                <w:sz w:val="22"/>
                <w:szCs w:val="22"/>
              </w:rPr>
              <w:t>211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Arial"/>
                <w:color w:val="000000"/>
                <w:sz w:val="22"/>
                <w:szCs w:val="22"/>
              </w:rPr>
            </w:pPr>
            <w:r>
              <w:rPr>
                <w:rFonts w:hint="eastAsia" w:cs="Arial"/>
                <w:color w:val="000000"/>
                <w:sz w:val="22"/>
                <w:szCs w:val="22"/>
              </w:rPr>
              <w:t>节能环保支出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10.01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10.01</w:t>
            </w:r>
          </w:p>
        </w:tc>
      </w:tr>
      <w:tr>
        <w:tblPrEx>
          <w:tblCellMar>
            <w:top w:w="0" w:type="dxa"/>
            <w:left w:w="0" w:type="dxa"/>
            <w:bottom w:w="0" w:type="dxa"/>
            <w:right w:w="0" w:type="dxa"/>
          </w:tblCellMar>
        </w:tblPrEx>
        <w:trPr>
          <w:trHeight w:val="368" w:hRule="atLeast"/>
        </w:trPr>
        <w:tc>
          <w:tcPr>
            <w:tcW w:w="108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Arial"/>
                <w:color w:val="000000"/>
                <w:sz w:val="22"/>
                <w:szCs w:val="22"/>
              </w:rPr>
            </w:pPr>
            <w:r>
              <w:rPr>
                <w:rFonts w:cs="Arial"/>
                <w:color w:val="000000"/>
                <w:sz w:val="22"/>
                <w:szCs w:val="22"/>
              </w:rPr>
              <w:t>21103</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Arial"/>
                <w:color w:val="000000"/>
                <w:sz w:val="22"/>
                <w:szCs w:val="22"/>
              </w:rPr>
            </w:pPr>
            <w:r>
              <w:rPr>
                <w:rFonts w:hint="eastAsia" w:cs="Arial"/>
                <w:color w:val="000000"/>
                <w:sz w:val="22"/>
                <w:szCs w:val="22"/>
              </w:rPr>
              <w:t>污染防治</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10.01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10.01</w:t>
            </w:r>
          </w:p>
        </w:tc>
      </w:tr>
      <w:tr>
        <w:tblPrEx>
          <w:tblCellMar>
            <w:top w:w="0" w:type="dxa"/>
            <w:left w:w="0" w:type="dxa"/>
            <w:bottom w:w="0" w:type="dxa"/>
            <w:right w:w="0" w:type="dxa"/>
          </w:tblCellMar>
        </w:tblPrEx>
        <w:trPr>
          <w:trHeight w:val="368" w:hRule="atLeast"/>
        </w:trPr>
        <w:tc>
          <w:tcPr>
            <w:tcW w:w="108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Arial"/>
                <w:color w:val="000000"/>
                <w:sz w:val="22"/>
                <w:szCs w:val="22"/>
              </w:rPr>
            </w:pPr>
            <w:r>
              <w:rPr>
                <w:rFonts w:cs="Arial"/>
                <w:color w:val="000000"/>
                <w:sz w:val="22"/>
                <w:szCs w:val="22"/>
              </w:rPr>
              <w:t>2110301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大气</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10.01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10.01</w:t>
            </w:r>
          </w:p>
        </w:tc>
      </w:tr>
      <w:tr>
        <w:tblPrEx>
          <w:tblCellMar>
            <w:top w:w="0" w:type="dxa"/>
            <w:left w:w="0" w:type="dxa"/>
            <w:bottom w:w="0" w:type="dxa"/>
            <w:right w:w="0" w:type="dxa"/>
          </w:tblCellMar>
        </w:tblPrEx>
        <w:trPr>
          <w:trHeight w:val="368" w:hRule="atLeast"/>
        </w:trPr>
        <w:tc>
          <w:tcPr>
            <w:tcW w:w="108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Arial"/>
                <w:color w:val="000000"/>
                <w:sz w:val="22"/>
                <w:szCs w:val="22"/>
              </w:rPr>
            </w:pPr>
            <w:r>
              <w:rPr>
                <w:rFonts w:cs="Arial"/>
                <w:color w:val="000000"/>
                <w:sz w:val="22"/>
                <w:szCs w:val="22"/>
              </w:rPr>
              <w:t>215</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Arial"/>
                <w:color w:val="000000"/>
                <w:sz w:val="22"/>
                <w:szCs w:val="22"/>
              </w:rPr>
            </w:pPr>
            <w:r>
              <w:rPr>
                <w:rFonts w:hint="eastAsia" w:cs="Arial"/>
                <w:color w:val="000000"/>
                <w:sz w:val="22"/>
                <w:szCs w:val="22"/>
              </w:rPr>
              <w:t>资源勘探信息等支出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1,289.94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834.15</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455.79</w:t>
            </w:r>
          </w:p>
        </w:tc>
      </w:tr>
      <w:tr>
        <w:tblPrEx>
          <w:tblCellMar>
            <w:top w:w="0" w:type="dxa"/>
            <w:left w:w="0" w:type="dxa"/>
            <w:bottom w:w="0" w:type="dxa"/>
            <w:right w:w="0" w:type="dxa"/>
          </w:tblCellMar>
        </w:tblPrEx>
        <w:trPr>
          <w:trHeight w:val="368" w:hRule="atLeast"/>
        </w:trPr>
        <w:tc>
          <w:tcPr>
            <w:tcW w:w="108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Arial"/>
                <w:color w:val="000000"/>
                <w:sz w:val="22"/>
                <w:szCs w:val="22"/>
              </w:rPr>
            </w:pPr>
            <w:r>
              <w:rPr>
                <w:rFonts w:cs="Arial"/>
                <w:color w:val="000000"/>
                <w:sz w:val="22"/>
                <w:szCs w:val="22"/>
              </w:rPr>
              <w:t>21506</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Arial"/>
                <w:color w:val="000000"/>
                <w:sz w:val="22"/>
                <w:szCs w:val="22"/>
              </w:rPr>
            </w:pPr>
            <w:r>
              <w:rPr>
                <w:rFonts w:hint="eastAsia" w:cs="Arial"/>
                <w:color w:val="000000"/>
                <w:sz w:val="22"/>
                <w:szCs w:val="22"/>
              </w:rPr>
              <w:t>安全生产监管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1,289.94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834.15</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455.79</w:t>
            </w:r>
          </w:p>
        </w:tc>
      </w:tr>
      <w:tr>
        <w:tblPrEx>
          <w:tblCellMar>
            <w:top w:w="0" w:type="dxa"/>
            <w:left w:w="0" w:type="dxa"/>
            <w:bottom w:w="0" w:type="dxa"/>
            <w:right w:w="0" w:type="dxa"/>
          </w:tblCellMar>
        </w:tblPrEx>
        <w:trPr>
          <w:trHeight w:val="368" w:hRule="atLeast"/>
        </w:trPr>
        <w:tc>
          <w:tcPr>
            <w:tcW w:w="108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Arial"/>
                <w:color w:val="000000"/>
                <w:sz w:val="22"/>
                <w:szCs w:val="22"/>
              </w:rPr>
            </w:pPr>
            <w:r>
              <w:rPr>
                <w:rFonts w:cs="Arial"/>
                <w:color w:val="000000"/>
                <w:sz w:val="22"/>
                <w:szCs w:val="22"/>
              </w:rPr>
              <w:t>2150601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行政运行</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834.15</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834.15</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368" w:hRule="atLeast"/>
        </w:trPr>
        <w:tc>
          <w:tcPr>
            <w:tcW w:w="108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Arial"/>
                <w:color w:val="000000"/>
                <w:sz w:val="22"/>
                <w:szCs w:val="22"/>
              </w:rPr>
            </w:pPr>
            <w:r>
              <w:rPr>
                <w:rFonts w:cs="Arial"/>
                <w:color w:val="000000"/>
                <w:sz w:val="22"/>
                <w:szCs w:val="22"/>
              </w:rPr>
              <w:t>2150605</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安全监管监察专项</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441.79</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441.79</w:t>
            </w:r>
          </w:p>
        </w:tc>
      </w:tr>
      <w:tr>
        <w:tblPrEx>
          <w:tblCellMar>
            <w:top w:w="0" w:type="dxa"/>
            <w:left w:w="0" w:type="dxa"/>
            <w:bottom w:w="0" w:type="dxa"/>
            <w:right w:w="0" w:type="dxa"/>
          </w:tblCellMar>
        </w:tblPrEx>
        <w:trPr>
          <w:trHeight w:val="368" w:hRule="atLeast"/>
        </w:trPr>
        <w:tc>
          <w:tcPr>
            <w:tcW w:w="108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cs="Arial"/>
                <w:color w:val="000000"/>
                <w:sz w:val="22"/>
                <w:szCs w:val="22"/>
              </w:rPr>
            </w:pPr>
            <w:r>
              <w:rPr>
                <w:rFonts w:cs="Arial"/>
                <w:color w:val="000000"/>
                <w:sz w:val="22"/>
                <w:szCs w:val="22"/>
              </w:rPr>
              <w:t>2150606</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cs="Arial"/>
                <w:color w:val="000000"/>
                <w:sz w:val="22"/>
                <w:szCs w:val="22"/>
              </w:rPr>
            </w:pPr>
            <w:r>
              <w:rPr>
                <w:rFonts w:cs="Arial"/>
                <w:color w:val="000000"/>
                <w:sz w:val="22"/>
                <w:szCs w:val="22"/>
              </w:rPr>
              <w:t xml:space="preserve">  </w:t>
            </w:r>
            <w:r>
              <w:rPr>
                <w:rFonts w:hint="eastAsia" w:cs="Arial"/>
                <w:color w:val="000000"/>
                <w:sz w:val="22"/>
                <w:szCs w:val="22"/>
              </w:rPr>
              <w:t>应急救援支出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14.00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14.00</w:t>
            </w:r>
          </w:p>
        </w:tc>
      </w:tr>
      <w:tr>
        <w:tblPrEx>
          <w:tblCellMar>
            <w:top w:w="0" w:type="dxa"/>
            <w:left w:w="0" w:type="dxa"/>
            <w:bottom w:w="0" w:type="dxa"/>
            <w:right w:w="0" w:type="dxa"/>
          </w:tblCellMar>
        </w:tblPrEx>
        <w:trPr>
          <w:trHeight w:val="368" w:hRule="atLeast"/>
        </w:trPr>
        <w:tc>
          <w:tcPr>
            <w:tcW w:w="8950" w:type="dxa"/>
            <w:gridSpan w:val="9"/>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注：本表反映部门本年度一般公共预算财政拨款收入及支出情况。</w:t>
            </w:r>
            <w:r>
              <w:rPr>
                <w:rFonts w:ascii="宋体" w:hAnsi="宋体" w:cs="宋体"/>
                <w:color w:val="000000"/>
                <w:kern w:val="0"/>
                <w:szCs w:val="21"/>
              </w:rPr>
              <w:t xml:space="preserve">      </w:t>
            </w:r>
          </w:p>
        </w:tc>
      </w:tr>
    </w:tbl>
    <w:p>
      <w:pPr>
        <w:widowControl/>
        <w:spacing w:after="0" w:line="560" w:lineRule="exact"/>
        <w:jc w:val="left"/>
        <w:rPr>
          <w:rFonts w:ascii="??_GB2312" w:hAnsi="宋体" w:eastAsia="Times New Roman"/>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06</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部门：霸州市安全生产监督管理局</w:t>
            </w:r>
          </w:p>
        </w:tc>
        <w:tc>
          <w:tcPr>
            <w:tcW w:w="7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59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8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76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7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56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78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85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663.57</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110.11</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基本工资</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221.14</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5.63</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国内债务付息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津贴补贴</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121.48</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印刷费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国外债务付息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6.16</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咨询费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伙食补助费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手续费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房屋建筑物购建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绩效工资</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105</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1.14</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机关事业单位基本养老保险缴费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80.87</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电费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7.47</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职业年金缴费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邮电费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32</w:t>
            </w:r>
            <w:r>
              <w:rPr>
                <w:rFonts w:hint="eastAsia" w:ascii="宋体" w:cs="宋体"/>
                <w:color w:val="000000"/>
                <w:sz w:val="16"/>
                <w:szCs w:val="16"/>
              </w:rPr>
              <w:t>．</w:t>
            </w:r>
            <w:r>
              <w:rPr>
                <w:rFonts w:ascii="宋体" w:cs="宋体"/>
                <w:color w:val="000000"/>
                <w:sz w:val="16"/>
                <w:szCs w:val="16"/>
              </w:rPr>
              <w:t>89</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基础设施建设</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职工基本医疗保险缴费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28.54</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取暖费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4.63</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大型修缮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公务员医疗补助缴费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物业管理费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信息网络及软件购置更新</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其他社会保障缴费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11.79</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差旅费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2.25</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物资储备</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住房公积金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48.51</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因公出国（境）费用</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土地补偿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维修（护）费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0.79</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安置补助</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其他工资福利支出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40.07</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租赁费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地上附着物和青苗补偿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60.47</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会议费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拆迁补偿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离休费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培训费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退休费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公务接待费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其他交通工具购置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退职（役）费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专用材料费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文物和陈列品购置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抚恤金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无形资产购置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生活补助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救济费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9.06</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60.23</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赠与</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助学金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7.82</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国家赔偿费用支出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奖励金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0.23</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1.22</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对民间非营利组织和群众性自治组织补贴</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个人农业生产补贴</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21.07</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其他对个人和家庭的补助支出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14.78</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1.39</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724.04</w:t>
            </w:r>
          </w:p>
        </w:tc>
        <w:tc>
          <w:tcPr>
            <w:tcW w:w="5328"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110.11</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注：本表反映部门本年度一般公共预算财政拨款基本支出明细情况。</w:t>
            </w:r>
            <w:r>
              <w:rPr>
                <w:rFonts w:ascii="宋体" w:hAnsi="宋体" w:cs="宋体"/>
                <w:color w:val="000000"/>
                <w:kern w:val="0"/>
                <w:sz w:val="20"/>
                <w:szCs w:val="20"/>
              </w:rPr>
              <w:t xml:space="preserve">        </w:t>
            </w:r>
          </w:p>
        </w:tc>
      </w:tr>
    </w:tbl>
    <w:p>
      <w:pPr>
        <w:widowControl/>
        <w:spacing w:after="0" w:line="560" w:lineRule="exact"/>
        <w:jc w:val="left"/>
        <w:rPr>
          <w:rFonts w:ascii="??_GB2312" w:hAnsi="宋体" w:eastAsia="Times New Roman"/>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 w:val="20"/>
                <w:szCs w:val="20"/>
              </w:rPr>
            </w:pPr>
            <w:r>
              <w:rPr>
                <w:rFonts w:hint="eastAsia" w:ascii="宋体" w:hAnsi="宋体" w:cs="宋体"/>
                <w:color w:val="000000"/>
                <w:kern w:val="0"/>
                <w:szCs w:val="21"/>
              </w:rPr>
              <w:t>部门：霸州市安全生产监督管理局</w:t>
            </w: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47.50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47.50</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25.00</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22.50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45.93</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45.93</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24.87</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21.07</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kern w:val="0"/>
                <w:szCs w:val="21"/>
              </w:rPr>
              <w:t xml:space="preserve">           </w:t>
            </w:r>
          </w:p>
        </w:tc>
      </w:tr>
    </w:tbl>
    <w:p>
      <w:pPr>
        <w:widowControl/>
        <w:spacing w:after="0" w:line="560" w:lineRule="exact"/>
        <w:jc w:val="left"/>
        <w:rPr>
          <w:rFonts w:ascii="??_GB2312" w:hAnsi="宋体" w:eastAsia="Times New Roman"/>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08</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部门：霸州市安全生产监督管理局</w:t>
            </w: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注：本表反映部门本年度政府性基金预算财政拨款收入、支出及结转和结余情况。</w:t>
            </w:r>
            <w:r>
              <w:rPr>
                <w:rFonts w:ascii="宋体" w:hAnsi="宋体" w:cs="宋体"/>
                <w:color w:val="000000"/>
                <w:kern w:val="0"/>
                <w:szCs w:val="21"/>
              </w:rPr>
              <w:t xml:space="preserve">         </w:t>
            </w: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s="宋体"/>
                <w:kern w:val="0"/>
                <w:szCs w:val="21"/>
              </w:rPr>
            </w:pPr>
            <w:r>
              <w:rPr>
                <w:rFonts w:hint="eastAsia" w:ascii="楷体" w:hAnsi="楷体" w:eastAsia="楷体" w:cs="楷体"/>
                <w:sz w:val="32"/>
                <w:szCs w:val="32"/>
              </w:rPr>
              <w:t>本部门本年度无相关收入（或支出、收支及结转结余等）情况，按要求空表列示。</w:t>
            </w:r>
          </w:p>
        </w:tc>
      </w:tr>
    </w:tbl>
    <w:p>
      <w:pPr>
        <w:widowControl/>
        <w:spacing w:after="0" w:line="560" w:lineRule="exact"/>
        <w:jc w:val="left"/>
        <w:rPr>
          <w:rFonts w:ascii="??_GB2312" w:hAnsi="宋体" w:eastAsia="Times New Roman"/>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90" w:type="dxa"/>
        <w:tblInd w:w="-90" w:type="dxa"/>
        <w:tblLayout w:type="fixed"/>
        <w:tblCellMar>
          <w:top w:w="0" w:type="dxa"/>
          <w:left w:w="0" w:type="dxa"/>
          <w:bottom w:w="0" w:type="dxa"/>
          <w:right w:w="0" w:type="dxa"/>
        </w:tblCellMar>
      </w:tblPr>
      <w:tblGrid>
        <w:gridCol w:w="90"/>
        <w:gridCol w:w="442"/>
        <w:gridCol w:w="208"/>
        <w:gridCol w:w="504"/>
        <w:gridCol w:w="274"/>
        <w:gridCol w:w="894"/>
        <w:gridCol w:w="783"/>
        <w:gridCol w:w="690"/>
        <w:gridCol w:w="1208"/>
        <w:gridCol w:w="359"/>
        <w:gridCol w:w="1539"/>
        <w:gridCol w:w="1899"/>
      </w:tblGrid>
      <w:tr>
        <w:tblPrEx>
          <w:tblCellMar>
            <w:top w:w="0" w:type="dxa"/>
            <w:left w:w="0" w:type="dxa"/>
            <w:bottom w:w="0" w:type="dxa"/>
            <w:right w:w="0" w:type="dxa"/>
          </w:tblCellMar>
        </w:tblPrEx>
        <w:trPr>
          <w:trHeight w:val="656" w:hRule="atLeast"/>
        </w:trPr>
        <w:tc>
          <w:tcPr>
            <w:tcW w:w="8890" w:type="dxa"/>
            <w:gridSpan w:val="12"/>
            <w:tcBorders>
              <w:top w:val="nil"/>
              <w:left w:val="nil"/>
              <w:bottom w:val="nil"/>
              <w:right w:val="nil"/>
            </w:tcBorders>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gridBefore w:val="1"/>
          <w:wBefore w:w="90" w:type="dxa"/>
          <w:trHeight w:val="335" w:hRule="atLeast"/>
        </w:trPr>
        <w:tc>
          <w:tcPr>
            <w:tcW w:w="442"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473"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67"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09</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gridBefore w:val="1"/>
          <w:wBefore w:w="90" w:type="dxa"/>
          <w:trHeight w:val="335" w:hRule="atLeast"/>
        </w:trPr>
        <w:tc>
          <w:tcPr>
            <w:tcW w:w="3795" w:type="dxa"/>
            <w:gridSpan w:val="7"/>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编制单位：霸州市安全生产监督管理局</w:t>
            </w:r>
          </w:p>
        </w:tc>
        <w:tc>
          <w:tcPr>
            <w:tcW w:w="1567"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gridBefore w:val="1"/>
          <w:wBefore w:w="90" w:type="dxa"/>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gridBefore w:val="1"/>
          <w:wBefore w:w="90" w:type="dxa"/>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gridBefore w:val="1"/>
          <w:wBefore w:w="90" w:type="dxa"/>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3</w:t>
            </w:r>
          </w:p>
        </w:tc>
      </w:tr>
      <w:tr>
        <w:tblPrEx>
          <w:tblCellMar>
            <w:top w:w="0" w:type="dxa"/>
            <w:left w:w="0" w:type="dxa"/>
            <w:bottom w:w="0" w:type="dxa"/>
            <w:right w:w="0" w:type="dxa"/>
          </w:tblCellMar>
        </w:tblPrEx>
        <w:trPr>
          <w:gridBefore w:val="1"/>
          <w:wBefore w:w="90" w:type="dxa"/>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gridBefore w:val="1"/>
          <w:wBefore w:w="90" w:type="dxa"/>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gridBefore w:val="1"/>
          <w:wBefore w:w="90" w:type="dxa"/>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gridBefore w:val="1"/>
          <w:wBefore w:w="90" w:type="dxa"/>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gridBefore w:val="1"/>
          <w:wBefore w:w="90" w:type="dxa"/>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gridBefore w:val="1"/>
          <w:wBefore w:w="90" w:type="dxa"/>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gridBefore w:val="1"/>
          <w:wBefore w:w="90" w:type="dxa"/>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gridBefore w:val="1"/>
          <w:wBefore w:w="90" w:type="dxa"/>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cs="宋体"/>
                <w:color w:val="000000"/>
                <w:kern w:val="0"/>
                <w:sz w:val="22"/>
                <w:szCs w:val="22"/>
              </w:rPr>
            </w:pPr>
            <w:r>
              <w:rPr>
                <w:rFonts w:hint="eastAsia" w:ascii="宋体" w:hAnsi="宋体" w:cs="宋体"/>
                <w:color w:val="000000"/>
                <w:kern w:val="0"/>
                <w:sz w:val="22"/>
                <w:szCs w:val="22"/>
              </w:rPr>
              <w:t>注：本表反映部门本年度国有资本经营预算财政拨款支出情况。</w:t>
            </w:r>
          </w:p>
          <w:p>
            <w:pPr>
              <w:widowControl/>
              <w:spacing w:after="0" w:line="240" w:lineRule="auto"/>
              <w:jc w:val="left"/>
              <w:textAlignment w:val="center"/>
              <w:rPr>
                <w:rFonts w:ascii="宋体" w:cs="宋体"/>
                <w:color w:val="000000"/>
                <w:kern w:val="0"/>
                <w:sz w:val="22"/>
                <w:szCs w:val="22"/>
              </w:rPr>
            </w:pPr>
            <w:r>
              <w:rPr>
                <w:rFonts w:hint="eastAsia" w:ascii="楷体" w:hAnsi="楷体" w:eastAsia="楷体" w:cs="楷体"/>
                <w:sz w:val="32"/>
                <w:szCs w:val="32"/>
              </w:rPr>
              <w:t>本部门本年度无相关收入（或支出、收支及结转结余等）情况，按要求空表列示。</w:t>
            </w:r>
          </w:p>
        </w:tc>
      </w:tr>
    </w:tbl>
    <w:p>
      <w:pPr>
        <w:widowControl/>
        <w:spacing w:after="0" w:line="560" w:lineRule="exact"/>
        <w:jc w:val="left"/>
        <w:rPr>
          <w:rFonts w:ascii="??_GB2312" w:hAnsi="宋体" w:eastAsia="Times New Roman"/>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10</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编制单位：霸州市安全生产监督管理局</w:t>
            </w:r>
            <w:r>
              <w:rPr>
                <w:rFonts w:ascii="宋体" w:hAnsi="宋体" w:cs="宋体"/>
                <w:color w:val="000000"/>
                <w:kern w:val="0"/>
                <w:szCs w:val="21"/>
              </w:rPr>
              <w:t xml:space="preserve"> </w:t>
            </w: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246.86</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246.86</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246.86</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246.86</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246.86</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246.86</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226.06</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226.06</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226.06</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226.06</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226.06</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226.06</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注：本表反映部门本年度纳入部门预算范围的政府采购预算及支出情况。</w:t>
            </w:r>
            <w:r>
              <w:rPr>
                <w:rFonts w:ascii="宋体" w:hAnsi="宋体" w:cs="宋体"/>
                <w:color w:val="000000"/>
                <w:kern w:val="0"/>
                <w:szCs w:val="21"/>
              </w:rPr>
              <w:t xml:space="preserve">     </w:t>
            </w:r>
          </w:p>
        </w:tc>
      </w:tr>
    </w:tbl>
    <w:p>
      <w:pPr>
        <w:widowControl/>
        <w:spacing w:after="0" w:line="560" w:lineRule="exact"/>
        <w:jc w:val="left"/>
        <w:rPr>
          <w:rFonts w:ascii="??_GB2312" w:hAnsi="宋体" w:eastAsia="Times New Roman"/>
          <w:b/>
          <w:sz w:val="28"/>
          <w:szCs w:val="28"/>
          <w:highlight w:val="yellow"/>
        </w:rPr>
      </w:pPr>
    </w:p>
    <w:p/>
    <w:p/>
    <w:p/>
    <w:p/>
    <w:p>
      <w:pPr>
        <w:tabs>
          <w:tab w:val="left" w:pos="1086"/>
        </w:tabs>
        <w:jc w:val="left"/>
        <w:rPr>
          <w:rFonts w:ascii="??_GB2312" w:hAnsi="宋体" w:eastAsia="Times New Roman"/>
          <w:b/>
          <w:sz w:val="28"/>
          <w:szCs w:val="28"/>
          <w:highlight w:val="yellow"/>
        </w:rPr>
        <w:sectPr>
          <w:pgSz w:w="11906" w:h="16838"/>
          <w:pgMar w:top="2098" w:right="1474" w:bottom="1984" w:left="1588" w:header="851" w:footer="992" w:gutter="0"/>
          <w:cols w:space="0" w:num="1"/>
          <w:docGrid w:type="lines" w:linePitch="312" w:charSpace="0"/>
        </w:sectPr>
      </w:pPr>
      <w:r>
        <w:tab/>
      </w: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本部门2018年度收支总计（含结转和结余）</w:t>
      </w:r>
      <w:r>
        <w:rPr>
          <w:rFonts w:ascii="??_GB2312" w:cs="DengXian-Regular"/>
          <w:sz w:val="32"/>
          <w:szCs w:val="32"/>
        </w:rPr>
        <w:t>1319.56</w:t>
      </w:r>
      <w:r>
        <w:rPr>
          <w:rFonts w:ascii="??_GB2312" w:eastAsia="Times New Roman" w:cs="DengXian-Regular"/>
          <w:sz w:val="32"/>
          <w:szCs w:val="32"/>
        </w:rPr>
        <w:t>万元。与2017年度决算相比，收支各增加</w:t>
      </w:r>
      <w:r>
        <w:rPr>
          <w:rFonts w:ascii="??_GB2312" w:cs="DengXian-Regular"/>
          <w:sz w:val="32"/>
          <w:szCs w:val="32"/>
        </w:rPr>
        <w:t>230.52</w:t>
      </w:r>
      <w:r>
        <w:rPr>
          <w:rFonts w:ascii="??_GB2312" w:eastAsia="Times New Roman" w:cs="DengXian-Regular"/>
          <w:sz w:val="32"/>
          <w:szCs w:val="32"/>
        </w:rPr>
        <w:t>万元，增长</w:t>
      </w:r>
      <w:r>
        <w:rPr>
          <w:rFonts w:ascii="??_GB2312" w:cs="DengXian-Regular"/>
          <w:sz w:val="32"/>
          <w:szCs w:val="32"/>
        </w:rPr>
        <w:t>21.17</w:t>
      </w:r>
      <w:r>
        <w:rPr>
          <w:rFonts w:ascii="??_GB2312" w:eastAsia="Times New Roman" w:cs="DengXian-Regular"/>
          <w:sz w:val="32"/>
          <w:szCs w:val="32"/>
        </w:rPr>
        <w:t>%，主要是</w:t>
      </w:r>
      <w:r>
        <w:rPr>
          <w:rFonts w:hint="eastAsia" w:ascii="宋体" w:hAnsi="宋体"/>
          <w:color w:val="000000"/>
          <w:sz w:val="32"/>
        </w:rPr>
        <w:t>人员工资、日常运转以及完成部门工作任务和事业发展目</w:t>
      </w:r>
      <w:r>
        <w:rPr>
          <w:rFonts w:hint="eastAsia" w:ascii="??_GB2312" w:hAnsi="??_GB2312"/>
          <w:color w:val="000000"/>
          <w:sz w:val="32"/>
        </w:rPr>
        <w:t>标而安排的项目增</w:t>
      </w:r>
      <w:r>
        <w:rPr>
          <w:rFonts w:hint="eastAsia" w:ascii="宋体" w:hAnsi="宋体"/>
          <w:color w:val="000000"/>
          <w:sz w:val="32"/>
        </w:rPr>
        <w:t>加</w:t>
      </w:r>
      <w:r>
        <w:rPr>
          <w:rFonts w:ascii="??_GB2312" w:eastAsia="Times New Roman"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本部门2018年度本年收入合计</w:t>
      </w:r>
      <w:r>
        <w:rPr>
          <w:rFonts w:ascii="??_GB2312" w:cs="DengXian-Regular"/>
          <w:sz w:val="32"/>
          <w:szCs w:val="32"/>
        </w:rPr>
        <w:t>1318.91</w:t>
      </w:r>
      <w:r>
        <w:rPr>
          <w:rFonts w:ascii="??_GB2312" w:eastAsia="Times New Roman" w:cs="DengXian-Regular"/>
          <w:sz w:val="32"/>
          <w:szCs w:val="32"/>
        </w:rPr>
        <w:t>万元，其中：财政拨款收入</w:t>
      </w:r>
      <w:r>
        <w:rPr>
          <w:rFonts w:ascii="??_GB2312" w:cs="DengXian-Regular"/>
          <w:sz w:val="32"/>
          <w:szCs w:val="32"/>
        </w:rPr>
        <w:t>1318.82</w:t>
      </w:r>
      <w:r>
        <w:rPr>
          <w:rFonts w:ascii="??_GB2312" w:eastAsia="Times New Roman" w:cs="DengXian-Regular"/>
          <w:sz w:val="32"/>
          <w:szCs w:val="32"/>
        </w:rPr>
        <w:t>万元，占</w:t>
      </w:r>
      <w:r>
        <w:rPr>
          <w:rFonts w:ascii="??_GB2312" w:cs="DengXian-Regular"/>
          <w:sz w:val="32"/>
          <w:szCs w:val="32"/>
        </w:rPr>
        <w:t>99.99</w:t>
      </w:r>
      <w:r>
        <w:rPr>
          <w:rFonts w:ascii="??_GB2312" w:eastAsia="Times New Roman" w:cs="DengXian-Regular"/>
          <w:sz w:val="32"/>
          <w:szCs w:val="32"/>
        </w:rPr>
        <w:t>%；事业收入</w:t>
      </w:r>
      <w:r>
        <w:rPr>
          <w:rFonts w:ascii="??_GB2312" w:cs="DengXian-Regular"/>
          <w:sz w:val="32"/>
          <w:szCs w:val="32"/>
        </w:rPr>
        <w:t>0</w:t>
      </w:r>
      <w:r>
        <w:rPr>
          <w:rFonts w:ascii="??_GB2312" w:eastAsia="Times New Roman" w:cs="DengXian-Regular"/>
          <w:sz w:val="32"/>
          <w:szCs w:val="32"/>
        </w:rPr>
        <w:t>万元，占</w:t>
      </w:r>
      <w:r>
        <w:rPr>
          <w:rFonts w:ascii="??_GB2312" w:cs="DengXian-Regular"/>
          <w:sz w:val="32"/>
          <w:szCs w:val="32"/>
        </w:rPr>
        <w:t>0</w:t>
      </w:r>
      <w:r>
        <w:rPr>
          <w:rFonts w:ascii="??_GB2312" w:eastAsia="Times New Roman" w:cs="DengXian-Regular"/>
          <w:sz w:val="32"/>
          <w:szCs w:val="32"/>
        </w:rPr>
        <w:t>%；经营收入</w:t>
      </w:r>
      <w:r>
        <w:rPr>
          <w:rFonts w:ascii="??_GB2312" w:cs="DengXian-Regular"/>
          <w:sz w:val="32"/>
          <w:szCs w:val="32"/>
        </w:rPr>
        <w:t>0</w:t>
      </w:r>
      <w:r>
        <w:rPr>
          <w:rFonts w:ascii="??_GB2312" w:eastAsia="Times New Roman" w:cs="DengXian-Regular"/>
          <w:sz w:val="32"/>
          <w:szCs w:val="32"/>
        </w:rPr>
        <w:t>万元，占</w:t>
      </w:r>
      <w:r>
        <w:rPr>
          <w:rFonts w:ascii="??_GB2312" w:cs="DengXian-Regular"/>
          <w:sz w:val="32"/>
          <w:szCs w:val="32"/>
        </w:rPr>
        <w:t>0</w:t>
      </w:r>
      <w:r>
        <w:rPr>
          <w:rFonts w:ascii="??_GB2312" w:eastAsia="Times New Roman" w:cs="DengXian-Regular"/>
          <w:sz w:val="32"/>
          <w:szCs w:val="32"/>
        </w:rPr>
        <w:t>%；其他收入</w:t>
      </w:r>
      <w:r>
        <w:rPr>
          <w:rFonts w:ascii="??_GB2312" w:cs="DengXian-Regular"/>
          <w:sz w:val="32"/>
          <w:szCs w:val="32"/>
        </w:rPr>
        <w:t>0.09</w:t>
      </w:r>
      <w:r>
        <w:rPr>
          <w:rFonts w:ascii="??_GB2312" w:eastAsia="Times New Roman" w:cs="DengXian-Regular"/>
          <w:sz w:val="32"/>
          <w:szCs w:val="32"/>
        </w:rPr>
        <w:t>万元，占</w:t>
      </w:r>
      <w:r>
        <w:rPr>
          <w:rFonts w:ascii="??_GB2312" w:cs="DengXian-Regular"/>
          <w:sz w:val="32"/>
          <w:szCs w:val="32"/>
        </w:rPr>
        <w:t>0.01</w:t>
      </w:r>
      <w:r>
        <w:rPr>
          <w:rFonts w:ascii="??_GB2312" w:eastAsia="Times New Roman" w:cs="DengXian-Regular"/>
          <w:sz w:val="32"/>
          <w:szCs w:val="32"/>
        </w:rPr>
        <w:t>%。如表所示：</w:t>
      </w:r>
    </w:p>
    <w:tbl>
      <w:tblPr>
        <w:tblStyle w:val="12"/>
        <w:tblW w:w="8874" w:type="dxa"/>
        <w:tblInd w:w="0" w:type="dxa"/>
        <w:tblLayout w:type="fixed"/>
        <w:tblCellMar>
          <w:top w:w="15" w:type="dxa"/>
          <w:left w:w="15" w:type="dxa"/>
          <w:bottom w:w="15" w:type="dxa"/>
          <w:right w:w="15" w:type="dxa"/>
        </w:tblCellMar>
      </w:tblPr>
      <w:tblGrid>
        <w:gridCol w:w="2267"/>
        <w:gridCol w:w="1731"/>
        <w:gridCol w:w="1560"/>
        <w:gridCol w:w="1560"/>
        <w:gridCol w:w="1756"/>
      </w:tblGrid>
      <w:tr>
        <w:tblPrEx>
          <w:tblCellMar>
            <w:top w:w="15" w:type="dxa"/>
            <w:left w:w="15" w:type="dxa"/>
            <w:bottom w:w="15" w:type="dxa"/>
            <w:right w:w="15" w:type="dxa"/>
          </w:tblCellMar>
        </w:tblPrEx>
        <w:trPr>
          <w:trHeight w:val="286" w:hRule="atLeast"/>
        </w:trPr>
        <w:tc>
          <w:tcPr>
            <w:tcW w:w="8874" w:type="dxa"/>
            <w:gridSpan w:val="5"/>
            <w:vAlign w:val="center"/>
          </w:tcPr>
          <w:p>
            <w:pPr>
              <w:widowControl/>
              <w:jc w:val="center"/>
              <w:textAlignment w:val="center"/>
              <w:rPr>
                <w:rFonts w:ascii="宋体" w:cs="宋体"/>
                <w:color w:val="000000"/>
                <w:sz w:val="24"/>
              </w:rPr>
            </w:pPr>
            <w:r>
              <w:rPr>
                <w:rFonts w:hint="eastAsia" w:ascii="宋体" w:hAnsi="宋体" w:cs="宋体"/>
                <w:color w:val="000000"/>
                <w:kern w:val="0"/>
                <w:sz w:val="24"/>
              </w:rPr>
              <w:t>表</w:t>
            </w:r>
            <w:r>
              <w:rPr>
                <w:rFonts w:ascii="宋体" w:hAnsi="宋体" w:cs="宋体"/>
                <w:color w:val="000000"/>
                <w:kern w:val="0"/>
                <w:sz w:val="24"/>
              </w:rPr>
              <w:t>1</w:t>
            </w:r>
            <w:r>
              <w:rPr>
                <w:rFonts w:hint="eastAsia" w:ascii="宋体" w:hAnsi="宋体" w:cs="宋体"/>
                <w:color w:val="000000"/>
                <w:kern w:val="0"/>
                <w:sz w:val="24"/>
              </w:rPr>
              <w:t>：收入决算结构</w:t>
            </w: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1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财政拨款收入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事业收入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经营收入</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其他收入</w:t>
            </w: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金额（万元）</w:t>
            </w:r>
          </w:p>
        </w:tc>
        <w:tc>
          <w:tcPr>
            <w:tcW w:w="173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1318.82</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0.09</w:t>
            </w: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占比（</w:t>
            </w:r>
            <w:r>
              <w:rPr>
                <w:rFonts w:ascii="宋体" w:hAnsi="宋体" w:cs="宋体"/>
                <w:color w:val="000000"/>
                <w:kern w:val="0"/>
                <w:sz w:val="20"/>
                <w:szCs w:val="20"/>
              </w:rPr>
              <w:t>%</w:t>
            </w:r>
            <w:r>
              <w:rPr>
                <w:rFonts w:hint="eastAsia" w:ascii="宋体" w:hAnsi="宋体" w:cs="宋体"/>
                <w:color w:val="000000"/>
                <w:kern w:val="0"/>
                <w:sz w:val="20"/>
                <w:szCs w:val="20"/>
              </w:rPr>
              <w:t>）</w:t>
            </w:r>
          </w:p>
        </w:tc>
        <w:tc>
          <w:tcPr>
            <w:tcW w:w="173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99.99</w:t>
            </w: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c>
          <w:tcPr>
            <w:tcW w:w="175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0.01</w:t>
            </w:r>
          </w:p>
        </w:tc>
      </w:tr>
    </w:tbl>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本部门2018年度本年支出合计</w:t>
      </w:r>
      <w:r>
        <w:rPr>
          <w:rFonts w:ascii="??_GB2312" w:cs="DengXian-Regular"/>
          <w:sz w:val="32"/>
          <w:szCs w:val="32"/>
        </w:rPr>
        <w:t>1300.03</w:t>
      </w:r>
      <w:r>
        <w:rPr>
          <w:rFonts w:ascii="??_GB2312" w:eastAsia="Times New Roman" w:cs="DengXian-Regular"/>
          <w:sz w:val="32"/>
          <w:szCs w:val="32"/>
        </w:rPr>
        <w:t>万元，其中：基本支出</w:t>
      </w:r>
      <w:r>
        <w:rPr>
          <w:rFonts w:ascii="??_GB2312" w:cs="DengXian-Regular"/>
          <w:sz w:val="32"/>
          <w:szCs w:val="32"/>
        </w:rPr>
        <w:t>834.24</w:t>
      </w:r>
      <w:r>
        <w:rPr>
          <w:rFonts w:ascii="??_GB2312" w:eastAsia="Times New Roman" w:cs="DengXian-Regular"/>
          <w:sz w:val="32"/>
          <w:szCs w:val="32"/>
        </w:rPr>
        <w:t>万元，占</w:t>
      </w:r>
      <w:r>
        <w:rPr>
          <w:rFonts w:ascii="??_GB2312" w:cs="DengXian-Regular"/>
          <w:sz w:val="32"/>
          <w:szCs w:val="32"/>
        </w:rPr>
        <w:t>64.17</w:t>
      </w:r>
      <w:r>
        <w:rPr>
          <w:rFonts w:ascii="??_GB2312" w:eastAsia="Times New Roman" w:cs="DengXian-Regular"/>
          <w:sz w:val="32"/>
          <w:szCs w:val="32"/>
        </w:rPr>
        <w:t>%；项目支出</w:t>
      </w:r>
      <w:r>
        <w:rPr>
          <w:rFonts w:ascii="??_GB2312" w:cs="DengXian-Regular"/>
          <w:sz w:val="32"/>
          <w:szCs w:val="32"/>
        </w:rPr>
        <w:t>465.79</w:t>
      </w:r>
      <w:r>
        <w:rPr>
          <w:rFonts w:ascii="??_GB2312" w:eastAsia="Times New Roman" w:cs="DengXian-Regular"/>
          <w:sz w:val="32"/>
          <w:szCs w:val="32"/>
        </w:rPr>
        <w:t>万元，占</w:t>
      </w:r>
      <w:r>
        <w:rPr>
          <w:rFonts w:ascii="??_GB2312" w:cs="DengXian-Regular"/>
          <w:sz w:val="32"/>
          <w:szCs w:val="32"/>
        </w:rPr>
        <w:t>35.83</w:t>
      </w:r>
      <w:r>
        <w:rPr>
          <w:rFonts w:ascii="??_GB2312" w:eastAsia="Times New Roman" w:cs="DengXian-Regular"/>
          <w:sz w:val="32"/>
          <w:szCs w:val="32"/>
        </w:rPr>
        <w:t>%；</w:t>
      </w:r>
      <w:r>
        <w:rPr>
          <w:rFonts w:hint="eastAsia" w:ascii="??_GB2312" w:cs="DengXian-Regular"/>
          <w:sz w:val="32"/>
          <w:szCs w:val="32"/>
        </w:rPr>
        <w:t>无</w:t>
      </w:r>
      <w:r>
        <w:rPr>
          <w:rFonts w:ascii="??_GB2312" w:eastAsia="Times New Roman" w:cs="DengXian-Regular"/>
          <w:sz w:val="32"/>
          <w:szCs w:val="32"/>
        </w:rPr>
        <w:t>经营支出。如表所示：</w:t>
      </w:r>
    </w:p>
    <w:p>
      <w:pPr>
        <w:adjustRightInd w:val="0"/>
        <w:snapToGrid w:val="0"/>
        <w:spacing w:after="0" w:line="580" w:lineRule="exact"/>
        <w:ind w:firstLine="640" w:firstLineChars="200"/>
        <w:rPr>
          <w:rFonts w:ascii="??_GB2312" w:eastAsia="Times New Roman" w:cs="DengXian-Regular"/>
          <w:sz w:val="32"/>
          <w:szCs w:val="32"/>
        </w:rPr>
      </w:pPr>
    </w:p>
    <w:tbl>
      <w:tblPr>
        <w:tblStyle w:val="12"/>
        <w:tblW w:w="8874" w:type="dxa"/>
        <w:tblInd w:w="0" w:type="dxa"/>
        <w:tblLayout w:type="fixed"/>
        <w:tblCellMar>
          <w:top w:w="15" w:type="dxa"/>
          <w:left w:w="15" w:type="dxa"/>
          <w:bottom w:w="15" w:type="dxa"/>
          <w:right w:w="15" w:type="dxa"/>
        </w:tblCellMar>
      </w:tblPr>
      <w:tblGrid>
        <w:gridCol w:w="2493"/>
        <w:gridCol w:w="2300"/>
        <w:gridCol w:w="2070"/>
        <w:gridCol w:w="2011"/>
      </w:tblGrid>
      <w:tr>
        <w:tblPrEx>
          <w:tblCellMar>
            <w:top w:w="15" w:type="dxa"/>
            <w:left w:w="15" w:type="dxa"/>
            <w:bottom w:w="15" w:type="dxa"/>
            <w:right w:w="15" w:type="dxa"/>
          </w:tblCellMar>
        </w:tblPrEx>
        <w:trPr>
          <w:trHeight w:val="286" w:hRule="atLeast"/>
        </w:trPr>
        <w:tc>
          <w:tcPr>
            <w:tcW w:w="8874" w:type="dxa"/>
            <w:gridSpan w:val="4"/>
            <w:vAlign w:val="center"/>
          </w:tcPr>
          <w:p>
            <w:pPr>
              <w:widowControl/>
              <w:jc w:val="center"/>
              <w:textAlignment w:val="center"/>
              <w:rPr>
                <w:rFonts w:ascii="宋体" w:cs="宋体"/>
                <w:color w:val="000000"/>
                <w:sz w:val="24"/>
              </w:rPr>
            </w:pPr>
            <w:r>
              <w:rPr>
                <w:rFonts w:hint="eastAsia" w:ascii="宋体" w:hAnsi="宋体" w:cs="宋体"/>
                <w:color w:val="000000"/>
                <w:kern w:val="0"/>
                <w:sz w:val="24"/>
              </w:rPr>
              <w:t>表</w:t>
            </w:r>
            <w:r>
              <w:rPr>
                <w:rFonts w:ascii="宋体" w:hAnsi="宋体" w:cs="宋体"/>
                <w:color w:val="000000"/>
                <w:kern w:val="0"/>
                <w:sz w:val="24"/>
              </w:rPr>
              <w:t>2</w:t>
            </w:r>
            <w:r>
              <w:rPr>
                <w:rFonts w:hint="eastAsia" w:ascii="宋体" w:hAnsi="宋体" w:cs="宋体"/>
                <w:color w:val="000000"/>
                <w:kern w:val="0"/>
                <w:sz w:val="24"/>
              </w:rPr>
              <w:t>：支出决算结构</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2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c>
          <w:tcPr>
            <w:tcW w:w="2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经营支出</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金额（万元）</w:t>
            </w:r>
          </w:p>
        </w:tc>
        <w:tc>
          <w:tcPr>
            <w:tcW w:w="230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834.24</w:t>
            </w:r>
          </w:p>
        </w:tc>
        <w:tc>
          <w:tcPr>
            <w:tcW w:w="207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465.79</w:t>
            </w:r>
          </w:p>
        </w:tc>
        <w:tc>
          <w:tcPr>
            <w:tcW w:w="201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占比（</w:t>
            </w:r>
            <w:r>
              <w:rPr>
                <w:rFonts w:ascii="宋体" w:hAnsi="宋体" w:cs="宋体"/>
                <w:color w:val="000000"/>
                <w:kern w:val="0"/>
                <w:sz w:val="20"/>
                <w:szCs w:val="20"/>
              </w:rPr>
              <w:t>%</w:t>
            </w:r>
            <w:r>
              <w:rPr>
                <w:rFonts w:hint="eastAsia" w:ascii="宋体" w:hAnsi="宋体" w:cs="宋体"/>
                <w:color w:val="000000"/>
                <w:kern w:val="0"/>
                <w:sz w:val="20"/>
                <w:szCs w:val="20"/>
              </w:rPr>
              <w:t>）</w:t>
            </w:r>
          </w:p>
        </w:tc>
        <w:tc>
          <w:tcPr>
            <w:tcW w:w="230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64.17</w:t>
            </w:r>
          </w:p>
        </w:tc>
        <w:tc>
          <w:tcPr>
            <w:tcW w:w="207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35.83</w:t>
            </w:r>
          </w:p>
        </w:tc>
        <w:tc>
          <w:tcPr>
            <w:tcW w:w="201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p>
        </w:tc>
      </w:tr>
    </w:tbl>
    <w:p>
      <w:pPr>
        <w:adjustRightInd w:val="0"/>
        <w:snapToGrid w:val="0"/>
        <w:spacing w:after="0" w:line="580" w:lineRule="exact"/>
        <w:ind w:firstLine="640" w:firstLineChars="200"/>
        <w:rPr>
          <w:rFonts w:ascii="??_GB2312" w:eastAsia="Times New Roman"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本部门2018年度形成的财政拨款收支均为一般公共预算财政拨款，其中一般公共预算财政拨款本年收入</w:t>
      </w:r>
      <w:r>
        <w:rPr>
          <w:rFonts w:ascii="??_GB2312" w:cs="DengXian-Regular"/>
          <w:sz w:val="32"/>
          <w:szCs w:val="32"/>
        </w:rPr>
        <w:t>1318.91</w:t>
      </w:r>
      <w:r>
        <w:rPr>
          <w:rFonts w:ascii="??_GB2312" w:eastAsia="Times New Roman" w:cs="DengXian-Regular"/>
          <w:sz w:val="32"/>
          <w:szCs w:val="32"/>
        </w:rPr>
        <w:t>万元,比2017年度增加</w:t>
      </w:r>
      <w:r>
        <w:rPr>
          <w:rFonts w:ascii="??_GB2312" w:cs="DengXian-Regular"/>
          <w:sz w:val="32"/>
          <w:szCs w:val="32"/>
        </w:rPr>
        <w:t>229.87</w:t>
      </w:r>
      <w:r>
        <w:rPr>
          <w:rFonts w:ascii="??_GB2312" w:eastAsia="Times New Roman" w:cs="DengXian-Regular"/>
          <w:sz w:val="32"/>
          <w:szCs w:val="32"/>
        </w:rPr>
        <w:t>万元，增长</w:t>
      </w:r>
      <w:r>
        <w:rPr>
          <w:rFonts w:ascii="??_GB2312" w:cs="DengXian-Regular"/>
          <w:sz w:val="32"/>
          <w:szCs w:val="32"/>
        </w:rPr>
        <w:t>21.11</w:t>
      </w:r>
      <w:r>
        <w:rPr>
          <w:rFonts w:ascii="??_GB2312" w:eastAsia="Times New Roman" w:cs="DengXian-Regular"/>
          <w:sz w:val="32"/>
          <w:szCs w:val="32"/>
        </w:rPr>
        <w:t>%，主要是</w:t>
      </w:r>
      <w:r>
        <w:rPr>
          <w:rFonts w:hint="eastAsia" w:ascii="宋体" w:hAnsi="宋体"/>
          <w:color w:val="000000"/>
          <w:sz w:val="32"/>
        </w:rPr>
        <w:t>人员工资、日常运转以及完成部门工作任务和事业发展目</w:t>
      </w:r>
      <w:r>
        <w:rPr>
          <w:rFonts w:hint="eastAsia" w:ascii="??_GB2312" w:hAnsi="??_GB2312"/>
          <w:color w:val="000000"/>
          <w:sz w:val="32"/>
        </w:rPr>
        <w:t>标而安排的项目增</w:t>
      </w:r>
      <w:r>
        <w:rPr>
          <w:rFonts w:hint="eastAsia" w:ascii="宋体" w:hAnsi="宋体"/>
          <w:color w:val="000000"/>
          <w:sz w:val="32"/>
        </w:rPr>
        <w:t>加</w:t>
      </w:r>
      <w:r>
        <w:rPr>
          <w:rFonts w:ascii="??_GB2312" w:eastAsia="Times New Roman" w:cs="DengXian-Regular"/>
          <w:sz w:val="32"/>
          <w:szCs w:val="32"/>
        </w:rPr>
        <w:t>；本年支出</w:t>
      </w:r>
      <w:r>
        <w:rPr>
          <w:rFonts w:ascii="??_GB2312" w:cs="DengXian-Regular"/>
          <w:sz w:val="32"/>
          <w:szCs w:val="32"/>
        </w:rPr>
        <w:t>1300.03</w:t>
      </w:r>
      <w:r>
        <w:rPr>
          <w:rFonts w:ascii="??_GB2312" w:eastAsia="Times New Roman" w:cs="DengXian-Regular"/>
          <w:sz w:val="32"/>
          <w:szCs w:val="32"/>
        </w:rPr>
        <w:t>万元，增加</w:t>
      </w:r>
      <w:r>
        <w:rPr>
          <w:rFonts w:ascii="??_GB2312" w:cs="DengXian-Regular"/>
          <w:sz w:val="32"/>
          <w:szCs w:val="32"/>
        </w:rPr>
        <w:t>201.2</w:t>
      </w:r>
      <w:r>
        <w:rPr>
          <w:rFonts w:ascii="??_GB2312" w:eastAsia="Times New Roman" w:cs="DengXian-Regular"/>
          <w:sz w:val="32"/>
          <w:szCs w:val="32"/>
        </w:rPr>
        <w:t>万元，增长</w:t>
      </w:r>
      <w:r>
        <w:rPr>
          <w:rFonts w:ascii="??_GB2312" w:cs="DengXian-Regular"/>
          <w:sz w:val="32"/>
          <w:szCs w:val="32"/>
        </w:rPr>
        <w:t>18.31</w:t>
      </w:r>
      <w:r>
        <w:rPr>
          <w:rFonts w:ascii="??_GB2312" w:eastAsia="Times New Roman" w:cs="DengXian-Regular"/>
          <w:sz w:val="32"/>
          <w:szCs w:val="32"/>
        </w:rPr>
        <w:t>%，主要是</w:t>
      </w:r>
      <w:r>
        <w:rPr>
          <w:rFonts w:hint="eastAsia" w:ascii="宋体" w:hAnsi="宋体"/>
          <w:color w:val="000000"/>
          <w:sz w:val="32"/>
        </w:rPr>
        <w:t>人员工资、日常运转以及完成部门工作任务和事业发展目</w:t>
      </w:r>
      <w:r>
        <w:rPr>
          <w:rFonts w:hint="eastAsia" w:ascii="??_GB2312" w:hAnsi="??_GB2312"/>
          <w:color w:val="000000"/>
          <w:sz w:val="32"/>
        </w:rPr>
        <w:t>标而安排的项目支出增加</w:t>
      </w:r>
      <w:r>
        <w:rPr>
          <w:rFonts w:ascii="??_GB2312" w:eastAsia="Times New Roman" w:cs="DengXian-Regular"/>
          <w:sz w:val="32"/>
          <w:szCs w:val="32"/>
        </w:rPr>
        <w:t>。</w:t>
      </w:r>
    </w:p>
    <w:p>
      <w:pPr>
        <w:spacing w:after="0" w:line="580" w:lineRule="exact"/>
        <w:ind w:firstLine="643" w:firstLineChars="200"/>
        <w:rPr>
          <w:rFonts w:ascii="??_GB2312" w:eastAsia="Times New Roman"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本部门2018年度一般公共预算财政拨款收入</w:t>
      </w:r>
      <w:r>
        <w:rPr>
          <w:rFonts w:ascii="??_GB2312" w:cs="DengXian-Regular"/>
          <w:sz w:val="32"/>
          <w:szCs w:val="32"/>
        </w:rPr>
        <w:t>1318.91</w:t>
      </w:r>
      <w:r>
        <w:rPr>
          <w:rFonts w:ascii="??_GB2312" w:eastAsia="Times New Roman" w:cs="DengXian-Regular"/>
          <w:sz w:val="32"/>
          <w:szCs w:val="32"/>
        </w:rPr>
        <w:t>万元，完成年初预算的</w:t>
      </w:r>
      <w:r>
        <w:rPr>
          <w:rFonts w:ascii="??_GB2312" w:cs="DengXian-Regular"/>
          <w:sz w:val="32"/>
          <w:szCs w:val="32"/>
        </w:rPr>
        <w:t>81.84</w:t>
      </w:r>
      <w:r>
        <w:rPr>
          <w:rFonts w:ascii="??_GB2312" w:eastAsia="Times New Roman" w:cs="DengXian-Regular"/>
          <w:sz w:val="32"/>
          <w:szCs w:val="32"/>
        </w:rPr>
        <w:t>%,比年初预算</w:t>
      </w:r>
      <w:r>
        <w:rPr>
          <w:rFonts w:hint="eastAsia" w:ascii="??_GB2312" w:cs="DengXian-Regular"/>
          <w:sz w:val="32"/>
          <w:szCs w:val="32"/>
        </w:rPr>
        <w:t>减少</w:t>
      </w:r>
      <w:r>
        <w:rPr>
          <w:rFonts w:ascii="??_GB2312" w:cs="DengXian-Regular"/>
          <w:sz w:val="32"/>
          <w:szCs w:val="32"/>
        </w:rPr>
        <w:t>292.2</w:t>
      </w:r>
      <w:r>
        <w:rPr>
          <w:rFonts w:ascii="??_GB2312" w:eastAsia="Times New Roman" w:cs="DengXian-Regular"/>
          <w:sz w:val="32"/>
          <w:szCs w:val="32"/>
        </w:rPr>
        <w:t>万元，决算数小于预算数主要是</w:t>
      </w:r>
      <w:r>
        <w:rPr>
          <w:rFonts w:hint="eastAsia" w:ascii="??_GB2312" w:cs="DengXian-Regular"/>
          <w:sz w:val="32"/>
          <w:szCs w:val="32"/>
        </w:rPr>
        <w:t>因为没有公务用车编制而未能为乡镇安监站采购车辆</w:t>
      </w:r>
      <w:r>
        <w:rPr>
          <w:rFonts w:ascii="??_GB2312" w:eastAsia="Times New Roman" w:cs="DengXian-Regular"/>
          <w:sz w:val="32"/>
          <w:szCs w:val="32"/>
        </w:rPr>
        <w:t>；本年支出</w:t>
      </w:r>
      <w:r>
        <w:rPr>
          <w:rFonts w:ascii="??_GB2312" w:cs="DengXian-Regular"/>
          <w:sz w:val="32"/>
          <w:szCs w:val="32"/>
        </w:rPr>
        <w:t>1300.13</w:t>
      </w:r>
      <w:r>
        <w:rPr>
          <w:rFonts w:ascii="??_GB2312" w:eastAsia="Times New Roman" w:cs="DengXian-Regular"/>
          <w:sz w:val="32"/>
          <w:szCs w:val="32"/>
        </w:rPr>
        <w:t>万元，完成年初预算的</w:t>
      </w:r>
      <w:r>
        <w:rPr>
          <w:rFonts w:ascii="??_GB2312" w:cs="DengXian-Regular"/>
          <w:sz w:val="32"/>
          <w:szCs w:val="32"/>
        </w:rPr>
        <w:t>80.69</w:t>
      </w:r>
      <w:r>
        <w:rPr>
          <w:rFonts w:ascii="??_GB2312" w:eastAsia="Times New Roman" w:cs="DengXian-Regular"/>
          <w:sz w:val="32"/>
          <w:szCs w:val="32"/>
        </w:rPr>
        <w:t>%,比年初预算减少</w:t>
      </w:r>
      <w:r>
        <w:rPr>
          <w:rFonts w:ascii="??_GB2312" w:cs="DengXian-Regular"/>
          <w:sz w:val="32"/>
          <w:szCs w:val="32"/>
        </w:rPr>
        <w:t>311.08</w:t>
      </w:r>
      <w:r>
        <w:rPr>
          <w:rFonts w:ascii="??_GB2312" w:eastAsia="Times New Roman" w:cs="DengXian-Regular"/>
          <w:sz w:val="32"/>
          <w:szCs w:val="32"/>
        </w:rPr>
        <w:t>万元，决算数小于预算数主要是是</w:t>
      </w:r>
      <w:r>
        <w:rPr>
          <w:rFonts w:hint="eastAsia" w:ascii="??_GB2312" w:cs="DengXian-Regular"/>
          <w:sz w:val="32"/>
          <w:szCs w:val="32"/>
        </w:rPr>
        <w:t>因为没有公务用车编制而未能为乡镇安监站采购车辆</w:t>
      </w:r>
      <w:r>
        <w:rPr>
          <w:rFonts w:ascii="??_GB2312" w:eastAsia="Times New Roman" w:cs="DengXian-Regular"/>
          <w:sz w:val="32"/>
          <w:szCs w:val="32"/>
        </w:rPr>
        <w:t>。</w: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_GB2312" w:cs="DengXian-Regular"/>
          <w:sz w:val="32"/>
          <w:szCs w:val="32"/>
        </w:rPr>
      </w:pPr>
      <w:r>
        <w:rPr>
          <w:rFonts w:ascii="??_GB2312" w:eastAsia="Times New Roman" w:cs="DengXian-Regular"/>
          <w:sz w:val="32"/>
          <w:szCs w:val="32"/>
        </w:rPr>
        <w:t>2018 年度财政拨款支出</w:t>
      </w:r>
      <w:r>
        <w:rPr>
          <w:rFonts w:ascii="??_GB2312" w:cs="DengXian-Regular"/>
          <w:sz w:val="32"/>
          <w:szCs w:val="32"/>
        </w:rPr>
        <w:t>1300.03</w:t>
      </w:r>
      <w:r>
        <w:rPr>
          <w:rFonts w:ascii="??_GB2312" w:eastAsia="Times New Roman" w:cs="DengXian-Regular"/>
          <w:sz w:val="32"/>
          <w:szCs w:val="32"/>
        </w:rPr>
        <w:t xml:space="preserve">万元，主要用于以下方面；社会保障和就业（类）支出 </w:t>
      </w:r>
      <w:r>
        <w:rPr>
          <w:rFonts w:ascii="??_GB2312" w:cs="DengXian-Regular"/>
          <w:sz w:val="32"/>
          <w:szCs w:val="32"/>
        </w:rPr>
        <w:t>0.09</w:t>
      </w:r>
      <w:r>
        <w:rPr>
          <w:rFonts w:ascii="??_GB2312" w:eastAsia="Times New Roman" w:cs="DengXian-Regular"/>
          <w:sz w:val="32"/>
          <w:szCs w:val="32"/>
        </w:rPr>
        <w:t>万元，占</w:t>
      </w:r>
      <w:r>
        <w:rPr>
          <w:rFonts w:ascii="??_GB2312" w:cs="DengXian-Regular"/>
          <w:sz w:val="32"/>
          <w:szCs w:val="32"/>
        </w:rPr>
        <w:t>0.08</w:t>
      </w:r>
      <w:r>
        <w:rPr>
          <w:rFonts w:ascii="??_GB2312" w:eastAsia="Times New Roman" w:cs="DengXian-Regular"/>
          <w:sz w:val="32"/>
          <w:szCs w:val="32"/>
        </w:rPr>
        <w:t>%；</w:t>
      </w:r>
      <w:r>
        <w:rPr>
          <w:rFonts w:hint="eastAsia" w:ascii="??_GB2312" w:cs="DengXian-Regular"/>
          <w:sz w:val="32"/>
          <w:szCs w:val="32"/>
        </w:rPr>
        <w:t>节能环保</w:t>
      </w:r>
      <w:r>
        <w:rPr>
          <w:rFonts w:ascii="??_GB2312" w:eastAsia="Times New Roman" w:cs="DengXian-Regular"/>
          <w:sz w:val="32"/>
          <w:szCs w:val="32"/>
        </w:rPr>
        <w:t>支出</w:t>
      </w:r>
      <w:r>
        <w:rPr>
          <w:rFonts w:ascii="??_GB2312" w:cs="DengXian-Regular"/>
          <w:sz w:val="32"/>
          <w:szCs w:val="32"/>
        </w:rPr>
        <w:t>10.01</w:t>
      </w:r>
      <w:r>
        <w:rPr>
          <w:rFonts w:ascii="??_GB2312" w:eastAsia="Times New Roman" w:cs="DengXian-Regular"/>
          <w:sz w:val="32"/>
          <w:szCs w:val="32"/>
        </w:rPr>
        <w:t>万元，占</w:t>
      </w:r>
      <w:r>
        <w:rPr>
          <w:rFonts w:ascii="??_GB2312" w:cs="DengXian-Regular"/>
          <w:sz w:val="32"/>
          <w:szCs w:val="32"/>
        </w:rPr>
        <w:t>0.77</w:t>
      </w:r>
      <w:r>
        <w:rPr>
          <w:rFonts w:ascii="??_GB2312" w:eastAsia="Times New Roman" w:cs="DengXian-Regular"/>
          <w:sz w:val="32"/>
          <w:szCs w:val="32"/>
        </w:rPr>
        <w:t>%;</w:t>
      </w:r>
      <w:r>
        <w:rPr>
          <w:rFonts w:hint="eastAsia" w:ascii="??_GB2312" w:cs="DengXian-Regular"/>
          <w:sz w:val="32"/>
          <w:szCs w:val="32"/>
        </w:rPr>
        <w:t>资源勘探信息等</w:t>
      </w:r>
      <w:r>
        <w:rPr>
          <w:rFonts w:ascii="??_GB2312" w:eastAsia="Times New Roman" w:cs="DengXian-Regular"/>
          <w:sz w:val="32"/>
          <w:szCs w:val="32"/>
        </w:rPr>
        <w:t>支出</w:t>
      </w:r>
      <w:r>
        <w:rPr>
          <w:rFonts w:ascii="??_GB2312" w:cs="DengXian-Regular"/>
          <w:sz w:val="32"/>
          <w:szCs w:val="32"/>
        </w:rPr>
        <w:t>1289.94</w:t>
      </w:r>
      <w:r>
        <w:rPr>
          <w:rFonts w:ascii="??_GB2312" w:eastAsia="Times New Roman" w:cs="DengXian-Regular"/>
          <w:sz w:val="32"/>
          <w:szCs w:val="32"/>
        </w:rPr>
        <w:t>万元，占</w:t>
      </w:r>
      <w:r>
        <w:rPr>
          <w:rFonts w:ascii="??_GB2312" w:cs="DengXian-Regular"/>
          <w:sz w:val="32"/>
          <w:szCs w:val="32"/>
        </w:rPr>
        <w:t>99.15</w:t>
      </w:r>
      <w:r>
        <w:rPr>
          <w:rFonts w:ascii="??_GB2312" w:eastAsia="Times New Roman" w:cs="DengXian-Regular"/>
          <w:sz w:val="32"/>
          <w:szCs w:val="32"/>
        </w:rPr>
        <w:t>%。</w:t>
      </w:r>
    </w:p>
    <w:p>
      <w:pPr>
        <w:adjustRightInd w:val="0"/>
        <w:snapToGrid w:val="0"/>
        <w:spacing w:after="0" w:line="580" w:lineRule="exact"/>
        <w:ind w:firstLine="640" w:firstLineChars="200"/>
        <w:rPr>
          <w:rFonts w:ascii="??_GB2312" w:cs="DengXian-Regular"/>
          <w:sz w:val="32"/>
          <w:szCs w:val="32"/>
        </w:rPr>
      </w:pPr>
    </w:p>
    <w:tbl>
      <w:tblPr>
        <w:tblStyle w:val="12"/>
        <w:tblW w:w="8835" w:type="dxa"/>
        <w:tblInd w:w="0" w:type="dxa"/>
        <w:tblLayout w:type="fixed"/>
        <w:tblCellMar>
          <w:top w:w="15" w:type="dxa"/>
          <w:left w:w="15" w:type="dxa"/>
          <w:bottom w:w="15" w:type="dxa"/>
          <w:right w:w="15" w:type="dxa"/>
        </w:tblCellMar>
      </w:tblPr>
      <w:tblGrid>
        <w:gridCol w:w="2220"/>
        <w:gridCol w:w="2415"/>
        <w:gridCol w:w="1995"/>
        <w:gridCol w:w="2205"/>
      </w:tblGrid>
      <w:tr>
        <w:tblPrEx>
          <w:tblCellMar>
            <w:top w:w="15" w:type="dxa"/>
            <w:left w:w="15" w:type="dxa"/>
            <w:bottom w:w="15" w:type="dxa"/>
            <w:right w:w="15" w:type="dxa"/>
          </w:tblCellMar>
        </w:tblPrEx>
        <w:trPr>
          <w:trHeight w:val="286" w:hRule="atLeast"/>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社会保障和就业支出</w:t>
            </w:r>
          </w:p>
        </w:tc>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节能环保支出</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资源勘探信息等支出</w:t>
            </w:r>
          </w:p>
        </w:tc>
      </w:tr>
      <w:tr>
        <w:tblPrEx>
          <w:tblCellMar>
            <w:top w:w="15" w:type="dxa"/>
            <w:left w:w="15" w:type="dxa"/>
            <w:bottom w:w="15" w:type="dxa"/>
            <w:right w:w="15" w:type="dxa"/>
          </w:tblCellMar>
        </w:tblPrEx>
        <w:trPr>
          <w:trHeight w:val="286" w:hRule="atLeast"/>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金额（万元）</w:t>
            </w:r>
          </w:p>
        </w:tc>
        <w:tc>
          <w:tcPr>
            <w:tcW w:w="241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0.09</w:t>
            </w:r>
          </w:p>
        </w:tc>
        <w:tc>
          <w:tcPr>
            <w:tcW w:w="199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10.01</w:t>
            </w:r>
          </w:p>
        </w:tc>
        <w:tc>
          <w:tcPr>
            <w:tcW w:w="220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1289.94</w:t>
            </w:r>
          </w:p>
        </w:tc>
      </w:tr>
      <w:tr>
        <w:tblPrEx>
          <w:tblCellMar>
            <w:top w:w="15" w:type="dxa"/>
            <w:left w:w="15" w:type="dxa"/>
            <w:bottom w:w="15" w:type="dxa"/>
            <w:right w:w="15" w:type="dxa"/>
          </w:tblCellMar>
        </w:tblPrEx>
        <w:trPr>
          <w:trHeight w:val="286" w:hRule="atLeast"/>
        </w:trPr>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占比（</w:t>
            </w:r>
            <w:r>
              <w:rPr>
                <w:rFonts w:ascii="宋体" w:hAnsi="宋体" w:cs="宋体"/>
                <w:color w:val="000000"/>
                <w:kern w:val="0"/>
                <w:sz w:val="20"/>
                <w:szCs w:val="20"/>
              </w:rPr>
              <w:t>%</w:t>
            </w:r>
            <w:r>
              <w:rPr>
                <w:rFonts w:hint="eastAsia" w:ascii="宋体" w:hAnsi="宋体" w:cs="宋体"/>
                <w:color w:val="000000"/>
                <w:kern w:val="0"/>
                <w:sz w:val="20"/>
                <w:szCs w:val="20"/>
              </w:rPr>
              <w:t>）</w:t>
            </w:r>
          </w:p>
        </w:tc>
        <w:tc>
          <w:tcPr>
            <w:tcW w:w="241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0.08</w:t>
            </w:r>
          </w:p>
        </w:tc>
        <w:tc>
          <w:tcPr>
            <w:tcW w:w="199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0.77</w:t>
            </w:r>
          </w:p>
        </w:tc>
        <w:tc>
          <w:tcPr>
            <w:tcW w:w="220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rPr>
            </w:pPr>
            <w:r>
              <w:rPr>
                <w:rFonts w:ascii="宋体" w:cs="宋体"/>
                <w:color w:val="000000"/>
                <w:sz w:val="24"/>
              </w:rPr>
              <w:t>99.15</w:t>
            </w:r>
          </w:p>
        </w:tc>
      </w:tr>
    </w:tbl>
    <w:p>
      <w:pPr>
        <w:adjustRightInd w:val="0"/>
        <w:snapToGrid w:val="0"/>
        <w:spacing w:after="0" w:line="580" w:lineRule="exact"/>
        <w:ind w:left="420" w:leftChars="200"/>
        <w:rPr>
          <w:rFonts w:ascii="??_GB2312" w:eastAsia="Times New Roman" w:cs="DengXian-Regular"/>
          <w:sz w:val="32"/>
          <w:szCs w:val="32"/>
          <w:highlight w:val="yellow"/>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2018 年度一般公共预算财政拨款基本支出</w:t>
      </w:r>
      <w:r>
        <w:rPr>
          <w:rFonts w:ascii="??_GB2312" w:cs="DengXian-Regular"/>
          <w:sz w:val="32"/>
          <w:szCs w:val="32"/>
        </w:rPr>
        <w:t>834.15</w:t>
      </w:r>
      <w:r>
        <w:rPr>
          <w:rFonts w:ascii="??_GB2312" w:eastAsia="Times New Roman" w:cs="DengXian-Regular"/>
          <w:sz w:val="32"/>
          <w:szCs w:val="32"/>
        </w:rPr>
        <w:t xml:space="preserve">万元，其中：人员经费 </w:t>
      </w:r>
      <w:r>
        <w:rPr>
          <w:rFonts w:ascii="??_GB2312" w:cs="DengXian-Regular"/>
          <w:sz w:val="32"/>
          <w:szCs w:val="32"/>
        </w:rPr>
        <w:t>724.04</w:t>
      </w:r>
      <w:r>
        <w:rPr>
          <w:rFonts w:ascii="??_GB2312" w:eastAsia="Times New Roman" w:cs="DengXian-Regular"/>
          <w:sz w:val="32"/>
          <w:szCs w:val="32"/>
        </w:rPr>
        <w:t>万元，主要包括基本工资、津贴补贴、奖金、绩效工资、机关事业单位基本养老保险缴费、职业年金缴费、职工基本医疗保险缴费、住房公积金、医疗费、其他社会保障缴费、其他工资福利支出</w:t>
      </w:r>
      <w:r>
        <w:rPr>
          <w:rFonts w:hint="eastAsia" w:ascii="??_GB2312" w:cs="DengXian-Regular"/>
          <w:sz w:val="32"/>
          <w:szCs w:val="32"/>
        </w:rPr>
        <w:t>、</w:t>
      </w:r>
      <w:r>
        <w:rPr>
          <w:rFonts w:ascii="??_GB2312" w:eastAsia="Times New Roman" w:cs="DengXian-Regular"/>
          <w:sz w:val="32"/>
          <w:szCs w:val="32"/>
        </w:rPr>
        <w:t>生活补助、医疗费补助、奖励金、其他对个人和家庭的补助支出等；公用经费</w:t>
      </w:r>
      <w:r>
        <w:rPr>
          <w:rFonts w:ascii="??_GB2312" w:cs="DengXian-Regular"/>
          <w:sz w:val="32"/>
          <w:szCs w:val="32"/>
        </w:rPr>
        <w:t>110.11</w:t>
      </w:r>
      <w:r>
        <w:rPr>
          <w:rFonts w:ascii="??_GB2312" w:eastAsia="Times New Roman" w:cs="DengXian-Regular"/>
          <w:sz w:val="32"/>
          <w:szCs w:val="32"/>
        </w:rPr>
        <w:t>万元，主要包括办公费、印刷费、咨询费、手续费、水费、电费、邮电费、取暖费、差旅费、维修（护）费、劳务费、委托业务费、工会经费、福利费、公务用车运行维护费、其他交通费用、其他商品和服务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line="584" w:lineRule="exact"/>
        <w:ind w:firstLine="640" w:firstLineChars="200"/>
        <w:rPr>
          <w:rFonts w:eastAsia="Times New Roman"/>
          <w:sz w:val="32"/>
          <w:szCs w:val="32"/>
          <w:highlight w:val="yellow"/>
        </w:rPr>
      </w:pPr>
      <w:r>
        <w:rPr>
          <w:rFonts w:hint="eastAsia" w:ascii="宋体" w:hAnsi="宋体" w:cs="宋体"/>
          <w:sz w:val="32"/>
          <w:szCs w:val="32"/>
        </w:rPr>
        <w:t>本部门</w:t>
      </w:r>
      <w:r>
        <w:rPr>
          <w:rFonts w:eastAsia="Times New Roman"/>
          <w:sz w:val="32"/>
          <w:szCs w:val="32"/>
        </w:rPr>
        <w:t>2018</w:t>
      </w:r>
      <w:r>
        <w:rPr>
          <w:rFonts w:hint="eastAsia" w:ascii="宋体" w:hAnsi="宋体" w:cs="宋体"/>
          <w:sz w:val="32"/>
          <w:szCs w:val="32"/>
        </w:rPr>
        <w:t>年度一般公共预算财政拨款</w:t>
      </w:r>
      <w:r>
        <w:rPr>
          <w:rFonts w:eastAsia="Times New Roman"/>
          <w:sz w:val="32"/>
          <w:szCs w:val="32"/>
        </w:rPr>
        <w:t>“</w:t>
      </w:r>
      <w:r>
        <w:rPr>
          <w:rFonts w:hint="eastAsia" w:ascii="宋体" w:hAnsi="宋体" w:cs="宋体"/>
          <w:sz w:val="32"/>
          <w:szCs w:val="32"/>
        </w:rPr>
        <w:t>三公</w:t>
      </w:r>
      <w:r>
        <w:rPr>
          <w:rFonts w:eastAsia="Times New Roman"/>
          <w:sz w:val="32"/>
          <w:szCs w:val="32"/>
        </w:rPr>
        <w:t>”</w:t>
      </w:r>
      <w:r>
        <w:rPr>
          <w:rFonts w:hint="eastAsia" w:ascii="宋体" w:hAnsi="宋体" w:cs="宋体"/>
          <w:sz w:val="32"/>
          <w:szCs w:val="32"/>
        </w:rPr>
        <w:t>经费支出共计</w:t>
      </w:r>
      <w:r>
        <w:rPr>
          <w:sz w:val="32"/>
          <w:szCs w:val="32"/>
        </w:rPr>
        <w:t>47.5</w:t>
      </w:r>
      <w:r>
        <w:rPr>
          <w:rFonts w:hint="eastAsia" w:ascii="宋体" w:hAnsi="宋体" w:cs="宋体"/>
          <w:sz w:val="32"/>
          <w:szCs w:val="32"/>
        </w:rPr>
        <w:t>万元，比年初预算减少</w:t>
      </w:r>
      <w:r>
        <w:rPr>
          <w:rFonts w:ascii="宋体" w:hAnsi="宋体" w:cs="宋体"/>
          <w:sz w:val="32"/>
          <w:szCs w:val="32"/>
        </w:rPr>
        <w:t>151.09</w:t>
      </w:r>
      <w:r>
        <w:rPr>
          <w:rFonts w:hint="eastAsia" w:ascii="宋体" w:hAnsi="宋体" w:cs="宋体"/>
          <w:sz w:val="32"/>
          <w:szCs w:val="32"/>
        </w:rPr>
        <w:t>万元，降低</w:t>
      </w:r>
      <w:r>
        <w:rPr>
          <w:rFonts w:ascii="宋体" w:hAnsi="宋体" w:cs="宋体"/>
          <w:sz w:val="32"/>
          <w:szCs w:val="32"/>
        </w:rPr>
        <w:t>76.08</w:t>
      </w:r>
      <w:r>
        <w:rPr>
          <w:rFonts w:eastAsia="Times New Roman"/>
          <w:sz w:val="32"/>
          <w:szCs w:val="32"/>
        </w:rPr>
        <w:t>%</w:t>
      </w:r>
      <w:r>
        <w:rPr>
          <w:rFonts w:hint="eastAsia" w:ascii="宋体" w:hAnsi="宋体" w:cs="宋体"/>
          <w:sz w:val="32"/>
          <w:szCs w:val="32"/>
        </w:rPr>
        <w:t>，主要是</w:t>
      </w:r>
      <w:r>
        <w:rPr>
          <w:rFonts w:hint="eastAsia" w:ascii="??_GB2312" w:cs="DengXian-Regular"/>
          <w:sz w:val="32"/>
          <w:szCs w:val="32"/>
        </w:rPr>
        <w:t>因为没有公务用车编制而未能为乡镇安监站采购车辆</w:t>
      </w:r>
      <w:r>
        <w:rPr>
          <w:rFonts w:hint="eastAsia" w:ascii="宋体" w:hAnsi="宋体" w:cs="宋体"/>
          <w:sz w:val="32"/>
          <w:szCs w:val="32"/>
        </w:rPr>
        <w:t>；比</w:t>
      </w:r>
      <w:r>
        <w:rPr>
          <w:rFonts w:eastAsia="Times New Roman"/>
          <w:sz w:val="32"/>
          <w:szCs w:val="32"/>
        </w:rPr>
        <w:t>2017</w:t>
      </w:r>
      <w:r>
        <w:rPr>
          <w:rFonts w:hint="eastAsia" w:ascii="宋体" w:hAnsi="宋体" w:cs="宋体"/>
          <w:sz w:val="32"/>
          <w:szCs w:val="32"/>
        </w:rPr>
        <w:t>年度决算增加</w:t>
      </w:r>
      <w:r>
        <w:rPr>
          <w:rFonts w:ascii="宋体" w:hAnsi="宋体" w:cs="宋体"/>
          <w:sz w:val="32"/>
          <w:szCs w:val="32"/>
        </w:rPr>
        <w:t>20.22</w:t>
      </w:r>
      <w:r>
        <w:rPr>
          <w:rFonts w:hint="eastAsia" w:ascii="宋体" w:hAnsi="宋体" w:cs="宋体"/>
          <w:sz w:val="32"/>
          <w:szCs w:val="32"/>
        </w:rPr>
        <w:t>万元，增长</w:t>
      </w:r>
      <w:r>
        <w:rPr>
          <w:rFonts w:ascii="宋体" w:hAnsi="宋体" w:cs="宋体"/>
          <w:sz w:val="32"/>
          <w:szCs w:val="32"/>
        </w:rPr>
        <w:t>74.12</w:t>
      </w:r>
      <w:r>
        <w:rPr>
          <w:rFonts w:eastAsia="Times New Roman"/>
          <w:sz w:val="32"/>
          <w:szCs w:val="32"/>
        </w:rPr>
        <w:t>%</w:t>
      </w:r>
      <w:r>
        <w:rPr>
          <w:rFonts w:hint="eastAsia" w:ascii="宋体" w:hAnsi="宋体" w:cs="宋体"/>
          <w:sz w:val="32"/>
          <w:szCs w:val="32"/>
        </w:rPr>
        <w:t>，主要是</w:t>
      </w:r>
      <w:r>
        <w:rPr>
          <w:rFonts w:hint="eastAsia"/>
          <w:sz w:val="32"/>
          <w:szCs w:val="32"/>
        </w:rPr>
        <w:t>为本单位购置了两辆公务用车</w:t>
      </w:r>
      <w:r>
        <w:rPr>
          <w:rFonts w:hint="eastAsia" w:ascii="宋体" w:hAnsi="宋体" w:cs="宋体"/>
          <w:sz w:val="32"/>
          <w:szCs w:val="32"/>
        </w:rPr>
        <w:t>。具体情况如下：</w:t>
      </w:r>
    </w:p>
    <w:p>
      <w:pPr>
        <w:adjustRightInd w:val="0"/>
        <w:snapToGrid w:val="0"/>
        <w:spacing w:line="584" w:lineRule="exact"/>
        <w:ind w:firstLine="643" w:firstLineChars="200"/>
        <w:rPr>
          <w:rFonts w:eastAsia="Times New Roman"/>
          <w:sz w:val="32"/>
          <w:szCs w:val="32"/>
          <w:highlight w:val="yellow"/>
        </w:rPr>
      </w:pPr>
      <w:r>
        <w:rPr>
          <w:rFonts w:hint="eastAsia" w:eastAsia="楷体_GB2312"/>
          <w:b/>
          <w:bCs/>
          <w:sz w:val="32"/>
          <w:szCs w:val="32"/>
        </w:rPr>
        <w:t>（一）因公出国（境）费支出</w:t>
      </w:r>
      <w:r>
        <w:rPr>
          <w:rFonts w:eastAsia="楷体_GB2312"/>
          <w:b/>
          <w:bCs/>
          <w:sz w:val="32"/>
          <w:szCs w:val="32"/>
        </w:rPr>
        <w:t>0</w:t>
      </w:r>
      <w:r>
        <w:rPr>
          <w:rFonts w:hint="eastAsia" w:eastAsia="楷体_GB2312"/>
          <w:b/>
          <w:bCs/>
          <w:sz w:val="32"/>
          <w:szCs w:val="32"/>
        </w:rPr>
        <w:t>万元。</w:t>
      </w:r>
      <w:r>
        <w:rPr>
          <w:rFonts w:hint="eastAsia" w:ascii="宋体" w:hAnsi="宋体" w:cs="宋体"/>
          <w:sz w:val="32"/>
          <w:szCs w:val="32"/>
        </w:rPr>
        <w:t>本部门</w:t>
      </w:r>
      <w:r>
        <w:rPr>
          <w:rFonts w:eastAsia="Times New Roman"/>
          <w:sz w:val="32"/>
          <w:szCs w:val="32"/>
        </w:rPr>
        <w:t>2018</w:t>
      </w:r>
      <w:r>
        <w:rPr>
          <w:rFonts w:hint="eastAsia" w:ascii="宋体" w:hAnsi="宋体" w:cs="宋体"/>
          <w:sz w:val="32"/>
          <w:szCs w:val="32"/>
        </w:rPr>
        <w:t>年度</w:t>
      </w:r>
      <w:r>
        <w:rPr>
          <w:rFonts w:ascii="??_GB2312" w:eastAsia="Times New Roman" w:cs="DengXian-Regular"/>
          <w:sz w:val="32"/>
          <w:szCs w:val="32"/>
        </w:rPr>
        <w:t>因公出国（境）团组</w:t>
      </w:r>
      <w:r>
        <w:rPr>
          <w:rFonts w:ascii="??_GB2312" w:cs="DengXian-Regular"/>
          <w:sz w:val="32"/>
          <w:szCs w:val="32"/>
        </w:rPr>
        <w:t>0</w:t>
      </w:r>
      <w:r>
        <w:rPr>
          <w:rFonts w:ascii="??_GB2312" w:eastAsia="Times New Roman" w:cs="DengXian-Regular"/>
          <w:sz w:val="32"/>
          <w:szCs w:val="32"/>
        </w:rPr>
        <w:t>个、共</w:t>
      </w:r>
      <w:r>
        <w:rPr>
          <w:rFonts w:ascii="??_GB2312" w:cs="DengXian-Regular"/>
          <w:sz w:val="32"/>
          <w:szCs w:val="32"/>
        </w:rPr>
        <w:t>0</w:t>
      </w:r>
      <w:r>
        <w:rPr>
          <w:rFonts w:ascii="??_GB2312" w:eastAsia="Times New Roman" w:cs="DengXian-Regular"/>
          <w:sz w:val="32"/>
          <w:szCs w:val="32"/>
        </w:rPr>
        <w:t>人/参加其他单位组织的因公出国（境）团组</w:t>
      </w:r>
      <w:r>
        <w:rPr>
          <w:rFonts w:ascii="??_GB2312" w:cs="DengXian-Regular"/>
          <w:sz w:val="32"/>
          <w:szCs w:val="32"/>
        </w:rPr>
        <w:t>0</w:t>
      </w:r>
      <w:r>
        <w:rPr>
          <w:rFonts w:ascii="??_GB2312" w:eastAsia="Times New Roman" w:cs="DengXian-Regular"/>
          <w:sz w:val="32"/>
          <w:szCs w:val="32"/>
        </w:rPr>
        <w:t>个、共</w:t>
      </w:r>
      <w:r>
        <w:rPr>
          <w:rFonts w:ascii="??_GB2312" w:cs="DengXian-Regular"/>
          <w:sz w:val="32"/>
          <w:szCs w:val="32"/>
        </w:rPr>
        <w:t>0</w:t>
      </w:r>
      <w:r>
        <w:rPr>
          <w:rFonts w:ascii="??_GB2312" w:eastAsia="Times New Roman" w:cs="DengXian-Regular"/>
          <w:sz w:val="32"/>
          <w:szCs w:val="32"/>
        </w:rPr>
        <w:t>人/无本单位组织的出国（境）团组。</w:t>
      </w:r>
      <w:r>
        <w:rPr>
          <w:rFonts w:hint="eastAsia" w:ascii="宋体" w:hAnsi="宋体" w:cs="宋体"/>
          <w:sz w:val="32"/>
          <w:szCs w:val="32"/>
        </w:rPr>
        <w:t>因公出国（境）费支出较年初预算无增减变化，较</w:t>
      </w:r>
      <w:r>
        <w:rPr>
          <w:rFonts w:eastAsia="Times New Roman"/>
          <w:sz w:val="32"/>
          <w:szCs w:val="32"/>
        </w:rPr>
        <w:t>2017</w:t>
      </w:r>
      <w:r>
        <w:rPr>
          <w:rFonts w:hint="eastAsia" w:ascii="宋体" w:hAnsi="宋体" w:cs="宋体"/>
          <w:sz w:val="32"/>
          <w:szCs w:val="32"/>
        </w:rPr>
        <w:t>年度决算无增减变化。</w:t>
      </w:r>
    </w:p>
    <w:p>
      <w:pPr>
        <w:adjustRightInd w:val="0"/>
        <w:snapToGrid w:val="0"/>
        <w:spacing w:line="584" w:lineRule="exact"/>
        <w:ind w:firstLine="643" w:firstLineChars="200"/>
        <w:rPr>
          <w:rFonts w:eastAsia="Times New Roman"/>
          <w:b/>
          <w:bCs/>
          <w:sz w:val="32"/>
          <w:szCs w:val="32"/>
        </w:rPr>
      </w:pPr>
      <w:r>
        <w:rPr>
          <w:rFonts w:hint="eastAsia" w:eastAsia="楷体_GB2312"/>
          <w:b/>
          <w:bCs/>
          <w:sz w:val="32"/>
          <w:szCs w:val="32"/>
        </w:rPr>
        <w:t>（二）公务用车购置及运行维护费支出</w:t>
      </w:r>
      <w:r>
        <w:rPr>
          <w:rFonts w:eastAsia="楷体_GB2312"/>
          <w:b/>
          <w:bCs/>
          <w:sz w:val="32"/>
          <w:szCs w:val="32"/>
        </w:rPr>
        <w:t>45.93</w:t>
      </w:r>
      <w:r>
        <w:rPr>
          <w:rFonts w:hint="eastAsia" w:eastAsia="楷体_GB2312"/>
          <w:b/>
          <w:bCs/>
          <w:sz w:val="32"/>
          <w:szCs w:val="32"/>
        </w:rPr>
        <w:t>万元。</w:t>
      </w:r>
      <w:r>
        <w:rPr>
          <w:rFonts w:ascii="??_GB2312" w:eastAsia="Times New Roman" w:cs="DengXian-Regular"/>
          <w:sz w:val="32"/>
          <w:szCs w:val="32"/>
        </w:rPr>
        <w:t>本部门2018年度公务用车购置及运行维护费比年初预算</w:t>
      </w:r>
      <w:r>
        <w:rPr>
          <w:rFonts w:hint="eastAsia" w:ascii="宋体" w:hAnsi="宋体" w:cs="宋体"/>
          <w:sz w:val="32"/>
          <w:szCs w:val="32"/>
        </w:rPr>
        <w:t>减少</w:t>
      </w:r>
      <w:r>
        <w:rPr>
          <w:rFonts w:ascii="宋体" w:hAnsi="宋体" w:cs="宋体"/>
          <w:sz w:val="32"/>
          <w:szCs w:val="32"/>
        </w:rPr>
        <w:t>1.57</w:t>
      </w:r>
      <w:r>
        <w:rPr>
          <w:rFonts w:hint="eastAsia" w:ascii="宋体" w:hAnsi="宋体" w:cs="宋体"/>
          <w:sz w:val="32"/>
          <w:szCs w:val="32"/>
        </w:rPr>
        <w:t>万元</w:t>
      </w:r>
      <w:r>
        <w:rPr>
          <w:rFonts w:ascii="??_GB2312" w:eastAsia="Times New Roman" w:cs="DengXian-Regular"/>
          <w:sz w:val="32"/>
          <w:szCs w:val="32"/>
        </w:rPr>
        <w:t>，</w:t>
      </w:r>
      <w:r>
        <w:rPr>
          <w:rFonts w:hint="eastAsia" w:ascii="宋体" w:hAnsi="宋体" w:cs="宋体"/>
          <w:sz w:val="32"/>
          <w:szCs w:val="32"/>
        </w:rPr>
        <w:t>降低</w:t>
      </w:r>
      <w:r>
        <w:rPr>
          <w:rFonts w:ascii="宋体" w:hAnsi="宋体" w:cs="宋体"/>
          <w:sz w:val="32"/>
          <w:szCs w:val="32"/>
        </w:rPr>
        <w:t>3.31</w:t>
      </w:r>
      <w:r>
        <w:rPr>
          <w:rFonts w:eastAsia="Times New Roman"/>
          <w:sz w:val="32"/>
          <w:szCs w:val="32"/>
        </w:rPr>
        <w:t>%</w:t>
      </w:r>
      <w:r>
        <w:rPr>
          <w:rFonts w:ascii="??_GB2312" w:eastAsia="Times New Roman" w:cs="DengXian-Regular"/>
          <w:sz w:val="32"/>
          <w:szCs w:val="32"/>
        </w:rPr>
        <w:t>,主要是</w:t>
      </w:r>
      <w:r>
        <w:rPr>
          <w:rFonts w:hint="eastAsia" w:ascii="??_GB2312" w:cs="DengXian-Regular"/>
          <w:sz w:val="32"/>
          <w:szCs w:val="32"/>
        </w:rPr>
        <w:t>公务用车购置费的压缩和公务用车运行费的减少</w:t>
      </w:r>
      <w:r>
        <w:rPr>
          <w:rFonts w:ascii="??_GB2312" w:eastAsia="Times New Roman" w:cs="DengXian-Regular"/>
          <w:sz w:val="32"/>
          <w:szCs w:val="32"/>
        </w:rPr>
        <w:t>；</w:t>
      </w:r>
      <w:r>
        <w:rPr>
          <w:rFonts w:hint="eastAsia" w:ascii="宋体" w:hAnsi="宋体" w:cs="宋体"/>
          <w:sz w:val="32"/>
          <w:szCs w:val="32"/>
        </w:rPr>
        <w:t>比</w:t>
      </w:r>
      <w:r>
        <w:rPr>
          <w:rFonts w:eastAsia="Times New Roman"/>
          <w:sz w:val="32"/>
          <w:szCs w:val="32"/>
        </w:rPr>
        <w:t>2017</w:t>
      </w:r>
      <w:r>
        <w:rPr>
          <w:rFonts w:hint="eastAsia" w:ascii="宋体" w:hAnsi="宋体" w:cs="宋体"/>
          <w:sz w:val="32"/>
          <w:szCs w:val="32"/>
        </w:rPr>
        <w:t>年度决算增加</w:t>
      </w:r>
      <w:r>
        <w:rPr>
          <w:rFonts w:ascii="宋体" w:hAnsi="宋体" w:cs="宋体"/>
          <w:sz w:val="32"/>
          <w:szCs w:val="32"/>
        </w:rPr>
        <w:t>18.65</w:t>
      </w:r>
      <w:r>
        <w:rPr>
          <w:rFonts w:hint="eastAsia" w:ascii="宋体" w:hAnsi="宋体" w:cs="宋体"/>
          <w:sz w:val="32"/>
          <w:szCs w:val="32"/>
        </w:rPr>
        <w:t>万元，增长</w:t>
      </w:r>
      <w:r>
        <w:rPr>
          <w:rFonts w:ascii="宋体" w:hAnsi="宋体" w:cs="宋体"/>
          <w:sz w:val="32"/>
          <w:szCs w:val="32"/>
        </w:rPr>
        <w:t>68.37</w:t>
      </w:r>
      <w:r>
        <w:rPr>
          <w:rFonts w:eastAsia="Times New Roman"/>
          <w:sz w:val="32"/>
          <w:szCs w:val="32"/>
        </w:rPr>
        <w:t>%</w:t>
      </w:r>
      <w:r>
        <w:rPr>
          <w:rFonts w:hint="eastAsia" w:ascii="宋体" w:hAnsi="宋体" w:cs="宋体"/>
          <w:sz w:val="32"/>
          <w:szCs w:val="32"/>
        </w:rPr>
        <w:t>，主要是</w:t>
      </w:r>
      <w:r>
        <w:rPr>
          <w:rFonts w:hint="eastAsia"/>
          <w:sz w:val="32"/>
          <w:szCs w:val="32"/>
        </w:rPr>
        <w:t>为本单位购置公务用车的支出</w:t>
      </w:r>
      <w:r>
        <w:rPr>
          <w:rFonts w:hint="eastAsia" w:ascii="宋体" w:hAnsi="宋体" w:cs="宋体"/>
          <w:sz w:val="32"/>
          <w:szCs w:val="32"/>
        </w:rPr>
        <w:t>。</w:t>
      </w:r>
      <w:r>
        <w:rPr>
          <w:rFonts w:hint="eastAsia" w:ascii="宋体" w:hAnsi="宋体" w:cs="宋体"/>
          <w:b/>
          <w:bCs/>
          <w:sz w:val="32"/>
          <w:szCs w:val="32"/>
        </w:rPr>
        <w:t>其中：</w:t>
      </w:r>
    </w:p>
    <w:p>
      <w:pPr>
        <w:adjustRightInd w:val="0"/>
        <w:snapToGrid w:val="0"/>
        <w:spacing w:line="584" w:lineRule="exact"/>
        <w:ind w:firstLine="643" w:firstLineChars="200"/>
        <w:rPr>
          <w:rFonts w:eastAsia="Times New Roman"/>
          <w:sz w:val="32"/>
          <w:szCs w:val="32"/>
          <w:highlight w:val="yellow"/>
        </w:rPr>
      </w:pPr>
      <w:r>
        <w:rPr>
          <w:rFonts w:hint="eastAsia" w:ascii="宋体" w:hAnsi="宋体" w:cs="宋体"/>
          <w:b/>
          <w:sz w:val="32"/>
          <w:szCs w:val="32"/>
        </w:rPr>
        <w:t>公务用车购置费支出</w:t>
      </w:r>
      <w:r>
        <w:rPr>
          <w:b/>
          <w:sz w:val="32"/>
          <w:szCs w:val="32"/>
        </w:rPr>
        <w:t>24.87</w:t>
      </w:r>
      <w:r>
        <w:rPr>
          <w:rFonts w:hint="eastAsia" w:ascii="宋体" w:hAnsi="宋体" w:cs="宋体"/>
          <w:b/>
          <w:sz w:val="32"/>
          <w:szCs w:val="32"/>
        </w:rPr>
        <w:t>万元。</w:t>
      </w:r>
      <w:r>
        <w:rPr>
          <w:rFonts w:hint="eastAsia" w:ascii="宋体" w:hAnsi="宋体" w:cs="宋体"/>
          <w:sz w:val="32"/>
          <w:szCs w:val="32"/>
        </w:rPr>
        <w:t>本部门</w:t>
      </w:r>
      <w:r>
        <w:rPr>
          <w:rFonts w:eastAsia="Times New Roman"/>
          <w:sz w:val="32"/>
          <w:szCs w:val="32"/>
        </w:rPr>
        <w:t>2018</w:t>
      </w:r>
      <w:r>
        <w:rPr>
          <w:rFonts w:hint="eastAsia" w:ascii="宋体" w:hAnsi="宋体" w:cs="宋体"/>
          <w:sz w:val="32"/>
          <w:szCs w:val="32"/>
        </w:rPr>
        <w:t>年度公务用车购置数量</w:t>
      </w:r>
      <w:r>
        <w:rPr>
          <w:sz w:val="32"/>
          <w:szCs w:val="32"/>
        </w:rPr>
        <w:t>2</w:t>
      </w:r>
      <w:r>
        <w:rPr>
          <w:rFonts w:hint="eastAsia" w:ascii="宋体" w:hAnsi="宋体" w:cs="宋体"/>
          <w:sz w:val="32"/>
          <w:szCs w:val="32"/>
        </w:rPr>
        <w:t>辆。公务用车购置费支出比年初预算减少</w:t>
      </w:r>
      <w:r>
        <w:rPr>
          <w:rFonts w:ascii="宋体" w:hAnsi="宋体" w:cs="宋体"/>
          <w:sz w:val="32"/>
          <w:szCs w:val="32"/>
        </w:rPr>
        <w:t>0.13</w:t>
      </w:r>
      <w:r>
        <w:rPr>
          <w:rFonts w:hint="eastAsia" w:ascii="宋体" w:hAnsi="宋体" w:cs="宋体"/>
          <w:sz w:val="32"/>
          <w:szCs w:val="32"/>
        </w:rPr>
        <w:t>万元，减少</w:t>
      </w:r>
      <w:r>
        <w:rPr>
          <w:rFonts w:ascii="宋体" w:hAnsi="宋体" w:cs="宋体"/>
          <w:sz w:val="32"/>
          <w:szCs w:val="32"/>
        </w:rPr>
        <w:t>0.52</w:t>
      </w:r>
      <w:r>
        <w:rPr>
          <w:rFonts w:eastAsia="Times New Roman"/>
          <w:sz w:val="32"/>
          <w:szCs w:val="32"/>
        </w:rPr>
        <w:t>%</w:t>
      </w:r>
      <w:r>
        <w:rPr>
          <w:rFonts w:hint="eastAsia" w:ascii="宋体" w:hAnsi="宋体" w:cs="宋体"/>
          <w:sz w:val="32"/>
          <w:szCs w:val="32"/>
        </w:rPr>
        <w:t>，主要是</w:t>
      </w:r>
      <w:r>
        <w:rPr>
          <w:rFonts w:hint="eastAsia"/>
          <w:sz w:val="32"/>
          <w:szCs w:val="32"/>
        </w:rPr>
        <w:t>政府采购减少了公务用车购置费</w:t>
      </w:r>
      <w:r>
        <w:rPr>
          <w:rFonts w:hint="eastAsia" w:ascii="宋体" w:hAnsi="宋体" w:cs="宋体"/>
          <w:sz w:val="32"/>
          <w:szCs w:val="32"/>
        </w:rPr>
        <w:t>；比</w:t>
      </w:r>
      <w:r>
        <w:rPr>
          <w:rFonts w:eastAsia="Times New Roman"/>
          <w:sz w:val="32"/>
          <w:szCs w:val="32"/>
        </w:rPr>
        <w:t>2017</w:t>
      </w:r>
      <w:r>
        <w:rPr>
          <w:rFonts w:hint="eastAsia" w:ascii="宋体" w:hAnsi="宋体" w:cs="宋体"/>
          <w:sz w:val="32"/>
          <w:szCs w:val="32"/>
        </w:rPr>
        <w:t>年度决算增加</w:t>
      </w:r>
      <w:r>
        <w:rPr>
          <w:rFonts w:ascii="宋体" w:hAnsi="宋体" w:cs="宋体"/>
          <w:sz w:val="32"/>
          <w:szCs w:val="32"/>
        </w:rPr>
        <w:t>24.87</w:t>
      </w:r>
      <w:r>
        <w:rPr>
          <w:rFonts w:hint="eastAsia" w:ascii="宋体" w:hAnsi="宋体" w:cs="宋体"/>
          <w:sz w:val="32"/>
          <w:szCs w:val="32"/>
        </w:rPr>
        <w:t>万元，增长</w:t>
      </w:r>
      <w:r>
        <w:rPr>
          <w:rFonts w:ascii="宋体" w:hAnsi="宋体" w:cs="宋体"/>
          <w:sz w:val="32"/>
          <w:szCs w:val="32"/>
        </w:rPr>
        <w:t>100</w:t>
      </w:r>
      <w:r>
        <w:rPr>
          <w:rFonts w:eastAsia="Times New Roman"/>
          <w:sz w:val="32"/>
          <w:szCs w:val="32"/>
        </w:rPr>
        <w:t>%</w:t>
      </w:r>
      <w:r>
        <w:rPr>
          <w:rFonts w:hint="eastAsia" w:ascii="宋体" w:hAnsi="宋体" w:cs="宋体"/>
          <w:sz w:val="32"/>
          <w:szCs w:val="32"/>
        </w:rPr>
        <w:t>，主要是</w:t>
      </w:r>
      <w:r>
        <w:rPr>
          <w:rFonts w:hint="eastAsia"/>
          <w:sz w:val="32"/>
          <w:szCs w:val="32"/>
        </w:rPr>
        <w:t>为本单位购置了公务用车</w:t>
      </w:r>
      <w:r>
        <w:rPr>
          <w:rFonts w:hint="eastAsia" w:ascii="宋体" w:hAnsi="宋体" w:cs="宋体"/>
          <w:sz w:val="32"/>
          <w:szCs w:val="32"/>
        </w:rPr>
        <w:t>。</w:t>
      </w:r>
    </w:p>
    <w:p>
      <w:pPr>
        <w:adjustRightInd w:val="0"/>
        <w:snapToGrid w:val="0"/>
        <w:spacing w:line="584" w:lineRule="exact"/>
        <w:ind w:firstLine="643" w:firstLineChars="200"/>
        <w:rPr>
          <w:rFonts w:eastAsia="Times New Roman"/>
          <w:sz w:val="32"/>
          <w:szCs w:val="32"/>
          <w:highlight w:val="yellow"/>
        </w:rPr>
      </w:pPr>
      <w:r>
        <w:rPr>
          <w:rFonts w:hint="eastAsia" w:ascii="宋体" w:hAnsi="宋体" w:cs="宋体"/>
          <w:b/>
          <w:sz w:val="32"/>
          <w:szCs w:val="32"/>
        </w:rPr>
        <w:t>公务用车运行维护费支出</w:t>
      </w:r>
      <w:r>
        <w:rPr>
          <w:b/>
          <w:sz w:val="32"/>
          <w:szCs w:val="32"/>
        </w:rPr>
        <w:t>21.07</w:t>
      </w:r>
      <w:r>
        <w:rPr>
          <w:rFonts w:hint="eastAsia" w:ascii="宋体" w:hAnsi="宋体" w:cs="宋体"/>
          <w:b/>
          <w:sz w:val="32"/>
          <w:szCs w:val="32"/>
        </w:rPr>
        <w:t>万元。</w:t>
      </w:r>
      <w:r>
        <w:rPr>
          <w:rFonts w:hint="eastAsia" w:ascii="宋体" w:hAnsi="宋体" w:cs="宋体"/>
          <w:sz w:val="32"/>
          <w:szCs w:val="32"/>
        </w:rPr>
        <w:t>本部门</w:t>
      </w:r>
      <w:r>
        <w:rPr>
          <w:rFonts w:eastAsia="Times New Roman"/>
          <w:sz w:val="32"/>
          <w:szCs w:val="32"/>
        </w:rPr>
        <w:t>2018</w:t>
      </w:r>
      <w:r>
        <w:rPr>
          <w:rFonts w:hint="eastAsia" w:ascii="宋体" w:hAnsi="宋体" w:cs="宋体"/>
          <w:sz w:val="32"/>
          <w:szCs w:val="32"/>
        </w:rPr>
        <w:t>年末单位公务用车保有量</w:t>
      </w:r>
      <w:r>
        <w:rPr>
          <w:sz w:val="32"/>
          <w:szCs w:val="32"/>
        </w:rPr>
        <w:t>9</w:t>
      </w:r>
      <w:r>
        <w:rPr>
          <w:rFonts w:hint="eastAsia" w:ascii="宋体" w:hAnsi="宋体" w:cs="宋体"/>
          <w:sz w:val="32"/>
          <w:szCs w:val="32"/>
        </w:rPr>
        <w:t>辆。公车运行维护费支出比年初预算减少</w:t>
      </w:r>
      <w:r>
        <w:rPr>
          <w:rFonts w:ascii="宋体" w:hAnsi="宋体" w:cs="宋体"/>
          <w:sz w:val="32"/>
          <w:szCs w:val="32"/>
        </w:rPr>
        <w:t>1.43</w:t>
      </w:r>
      <w:r>
        <w:rPr>
          <w:rFonts w:hint="eastAsia" w:ascii="宋体" w:hAnsi="宋体" w:cs="宋体"/>
          <w:sz w:val="32"/>
          <w:szCs w:val="32"/>
        </w:rPr>
        <w:t>万元，降低</w:t>
      </w:r>
      <w:r>
        <w:rPr>
          <w:rFonts w:ascii="宋体" w:hAnsi="宋体" w:cs="宋体"/>
          <w:sz w:val="32"/>
          <w:szCs w:val="32"/>
        </w:rPr>
        <w:t>0.06</w:t>
      </w:r>
      <w:r>
        <w:rPr>
          <w:rFonts w:eastAsia="Times New Roman"/>
          <w:sz w:val="32"/>
          <w:szCs w:val="32"/>
        </w:rPr>
        <w:t>%</w:t>
      </w:r>
      <w:r>
        <w:rPr>
          <w:rFonts w:hint="eastAsia" w:ascii="宋体" w:hAnsi="宋体" w:cs="宋体"/>
          <w:sz w:val="32"/>
          <w:szCs w:val="32"/>
        </w:rPr>
        <w:t>，主要是</w:t>
      </w:r>
      <w:r>
        <w:rPr>
          <w:rFonts w:hint="eastAsia"/>
          <w:sz w:val="32"/>
          <w:szCs w:val="32"/>
        </w:rPr>
        <w:t>单位厉行节俭，减少公务用车运行费用</w:t>
      </w:r>
      <w:r>
        <w:rPr>
          <w:rFonts w:hint="eastAsia" w:ascii="宋体" w:hAnsi="宋体" w:cs="宋体"/>
          <w:sz w:val="32"/>
          <w:szCs w:val="32"/>
        </w:rPr>
        <w:t>；比</w:t>
      </w:r>
      <w:r>
        <w:rPr>
          <w:rFonts w:eastAsia="Times New Roman"/>
          <w:sz w:val="32"/>
          <w:szCs w:val="32"/>
        </w:rPr>
        <w:t>2017</w:t>
      </w:r>
      <w:r>
        <w:rPr>
          <w:rFonts w:hint="eastAsia" w:ascii="宋体" w:hAnsi="宋体" w:cs="宋体"/>
          <w:sz w:val="32"/>
          <w:szCs w:val="32"/>
        </w:rPr>
        <w:t>年度决算减少</w:t>
      </w:r>
      <w:r>
        <w:rPr>
          <w:rFonts w:ascii="宋体" w:hAnsi="宋体" w:cs="宋体"/>
          <w:sz w:val="32"/>
          <w:szCs w:val="32"/>
        </w:rPr>
        <w:t>6.21</w:t>
      </w:r>
      <w:r>
        <w:rPr>
          <w:rFonts w:hint="eastAsia" w:ascii="宋体" w:hAnsi="宋体" w:cs="宋体"/>
          <w:sz w:val="32"/>
          <w:szCs w:val="32"/>
        </w:rPr>
        <w:t>万元，降低</w:t>
      </w:r>
      <w:r>
        <w:rPr>
          <w:rFonts w:ascii="宋体" w:hAnsi="宋体" w:cs="宋体"/>
          <w:sz w:val="32"/>
          <w:szCs w:val="32"/>
        </w:rPr>
        <w:t>22.76</w:t>
      </w:r>
      <w:r>
        <w:rPr>
          <w:rFonts w:eastAsia="Times New Roman"/>
          <w:sz w:val="32"/>
          <w:szCs w:val="32"/>
        </w:rPr>
        <w:t>%</w:t>
      </w:r>
      <w:r>
        <w:rPr>
          <w:rFonts w:hint="eastAsia" w:ascii="宋体" w:hAnsi="宋体" w:cs="宋体"/>
          <w:sz w:val="32"/>
          <w:szCs w:val="32"/>
        </w:rPr>
        <w:t>，主要是</w:t>
      </w:r>
      <w:r>
        <w:rPr>
          <w:rFonts w:hint="eastAsia"/>
          <w:sz w:val="32"/>
          <w:szCs w:val="32"/>
        </w:rPr>
        <w:t>单位厉行节俭，减少公务用车运行费用</w:t>
      </w:r>
      <w:r>
        <w:rPr>
          <w:rFonts w:hint="eastAsia" w:ascii="宋体" w:hAnsi="宋体" w:cs="宋体"/>
          <w:sz w:val="32"/>
          <w:szCs w:val="32"/>
        </w:rPr>
        <w:t>。</w:t>
      </w:r>
    </w:p>
    <w:p>
      <w:pPr>
        <w:adjustRightInd w:val="0"/>
        <w:snapToGrid w:val="0"/>
        <w:spacing w:line="584" w:lineRule="exact"/>
        <w:ind w:firstLine="643" w:firstLineChars="200"/>
        <w:rPr>
          <w:rFonts w:eastAsia="Times New Roman"/>
          <w:sz w:val="32"/>
          <w:szCs w:val="32"/>
          <w:highlight w:val="yellow"/>
        </w:rPr>
      </w:pPr>
      <w:r>
        <w:rPr>
          <w:rFonts w:hint="eastAsia" w:eastAsia="楷体_GB2312"/>
          <w:b/>
          <w:bCs/>
          <w:sz w:val="32"/>
          <w:szCs w:val="32"/>
        </w:rPr>
        <w:t>（三）公务接待费支出</w:t>
      </w:r>
      <w:r>
        <w:rPr>
          <w:rFonts w:eastAsia="楷体_GB2312"/>
          <w:b/>
          <w:bCs/>
          <w:sz w:val="32"/>
          <w:szCs w:val="32"/>
        </w:rPr>
        <w:t>0</w:t>
      </w:r>
      <w:r>
        <w:rPr>
          <w:rFonts w:hint="eastAsia" w:eastAsia="楷体_GB2312"/>
          <w:b/>
          <w:bCs/>
          <w:sz w:val="32"/>
          <w:szCs w:val="32"/>
        </w:rPr>
        <w:t>万元。</w:t>
      </w:r>
      <w:r>
        <w:rPr>
          <w:rFonts w:hint="eastAsia" w:ascii="宋体" w:hAnsi="宋体" w:cs="宋体"/>
          <w:sz w:val="32"/>
          <w:szCs w:val="32"/>
        </w:rPr>
        <w:t>本部门</w:t>
      </w:r>
      <w:r>
        <w:rPr>
          <w:rFonts w:eastAsia="Times New Roman"/>
          <w:sz w:val="32"/>
          <w:szCs w:val="32"/>
        </w:rPr>
        <w:t>2018</w:t>
      </w:r>
      <w:r>
        <w:rPr>
          <w:rFonts w:hint="eastAsia" w:ascii="宋体" w:hAnsi="宋体" w:cs="宋体"/>
          <w:sz w:val="32"/>
          <w:szCs w:val="32"/>
        </w:rPr>
        <w:t>年度公务接待共</w:t>
      </w:r>
      <w:r>
        <w:rPr>
          <w:sz w:val="32"/>
          <w:szCs w:val="32"/>
        </w:rPr>
        <w:t>0</w:t>
      </w:r>
      <w:r>
        <w:rPr>
          <w:rFonts w:hint="eastAsia" w:ascii="宋体" w:hAnsi="宋体" w:cs="宋体"/>
          <w:sz w:val="32"/>
          <w:szCs w:val="32"/>
        </w:rPr>
        <w:t>批次、</w:t>
      </w:r>
      <w:r>
        <w:rPr>
          <w:sz w:val="32"/>
          <w:szCs w:val="32"/>
        </w:rPr>
        <w:t>0</w:t>
      </w:r>
      <w:r>
        <w:rPr>
          <w:rFonts w:hint="eastAsia" w:ascii="宋体" w:hAnsi="宋体" w:cs="宋体"/>
          <w:sz w:val="32"/>
          <w:szCs w:val="32"/>
        </w:rPr>
        <w:t>人次。公务接待费支出较年初预算无增减变化；较</w:t>
      </w:r>
      <w:r>
        <w:rPr>
          <w:rFonts w:eastAsia="Times New Roman"/>
          <w:sz w:val="32"/>
          <w:szCs w:val="32"/>
        </w:rPr>
        <w:t>2017</w:t>
      </w:r>
      <w:r>
        <w:rPr>
          <w:rFonts w:hint="eastAsia" w:ascii="宋体" w:hAnsi="宋体" w:cs="宋体"/>
          <w:sz w:val="32"/>
          <w:szCs w:val="32"/>
        </w:rPr>
        <w:t>年度决算无增减变化。</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spacing w:line="580" w:lineRule="atLeast"/>
        <w:ind w:firstLine="640" w:firstLineChars="200"/>
        <w:rPr>
          <w:rFonts w:ascii="??_GB2312" w:cs="DengXian-Regular"/>
          <w:sz w:val="32"/>
          <w:szCs w:val="32"/>
        </w:rPr>
      </w:pPr>
      <w:r>
        <w:rPr>
          <w:rFonts w:ascii="??_GB2312" w:eastAsia="Times New Roman" w:cs="DengXian-Regular"/>
          <w:sz w:val="32"/>
          <w:szCs w:val="32"/>
        </w:rPr>
        <w:t>（一）预算绩效管理工作开展情况。</w:t>
      </w:r>
    </w:p>
    <w:p>
      <w:pPr>
        <w:spacing w:line="580" w:lineRule="atLeast"/>
        <w:ind w:firstLine="640" w:firstLineChars="200"/>
        <w:rPr>
          <w:rFonts w:ascii="宋体"/>
          <w:sz w:val="32"/>
          <w:szCs w:val="32"/>
        </w:rPr>
      </w:pPr>
      <w:r>
        <w:rPr>
          <w:rFonts w:hint="eastAsia" w:ascii="宋体" w:hAnsi="宋体"/>
          <w:sz w:val="32"/>
          <w:szCs w:val="32"/>
        </w:rPr>
        <w:t>根据市财政预算绩效管理要求，以“部门职责</w:t>
      </w:r>
      <w:r>
        <w:rPr>
          <w:rFonts w:ascii="宋体" w:hAnsi="宋体"/>
          <w:sz w:val="32"/>
          <w:szCs w:val="32"/>
        </w:rPr>
        <w:t>—</w:t>
      </w:r>
      <w:r>
        <w:rPr>
          <w:rFonts w:hint="eastAsia" w:ascii="宋体" w:hAnsi="宋体"/>
          <w:sz w:val="32"/>
          <w:szCs w:val="32"/>
        </w:rPr>
        <w:t>工作活动”为依据，确定部门预算项目和预算额度，清晰描述预算项目开支范围和内容，确定预算项目的绩效目标、绩效指标和评价标准，为预算绩效控制、绩效分析、绩效评价打下好的基础。</w:t>
      </w:r>
    </w:p>
    <w:p>
      <w:pPr>
        <w:adjustRightInd w:val="0"/>
        <w:snapToGrid w:val="0"/>
        <w:spacing w:after="0" w:line="580" w:lineRule="exact"/>
        <w:ind w:firstLine="640" w:firstLineChars="200"/>
        <w:rPr>
          <w:rFonts w:ascii="??_GB2312" w:cs="DengXian-Regular"/>
          <w:sz w:val="32"/>
          <w:szCs w:val="32"/>
        </w:rPr>
      </w:pPr>
      <w:r>
        <w:rPr>
          <w:rFonts w:ascii="??_GB2312" w:eastAsia="Times New Roman" w:cs="DengXian-Regular"/>
          <w:sz w:val="32"/>
          <w:szCs w:val="32"/>
        </w:rPr>
        <w:t>（二）项目绩效自评结果。</w:t>
      </w:r>
    </w:p>
    <w:p>
      <w:pPr>
        <w:widowControl/>
        <w:spacing w:line="560" w:lineRule="exact"/>
        <w:ind w:firstLine="640" w:firstLineChars="200"/>
        <w:rPr>
          <w:rFonts w:ascii="宋体"/>
          <w:color w:val="000000"/>
          <w:sz w:val="32"/>
        </w:rPr>
      </w:pPr>
      <w:r>
        <w:rPr>
          <w:rFonts w:hint="eastAsia" w:ascii="宋体" w:hAnsi="宋体"/>
          <w:color w:val="000000"/>
          <w:sz w:val="32"/>
        </w:rPr>
        <w:t>按照市财政预算绩效管理要求，对</w:t>
      </w:r>
      <w:r>
        <w:rPr>
          <w:rFonts w:ascii="宋体" w:hAnsi="宋体"/>
          <w:color w:val="000000"/>
          <w:sz w:val="32"/>
        </w:rPr>
        <w:t xml:space="preserve"> 2018</w:t>
      </w:r>
      <w:r>
        <w:rPr>
          <w:rFonts w:hint="eastAsia" w:ascii="宋体" w:hAnsi="宋体"/>
          <w:color w:val="000000"/>
          <w:sz w:val="32"/>
        </w:rPr>
        <w:t>年确定的部门一般公共预算支出项目全面开展了绩效自评，绩效评价结果良好。</w:t>
      </w:r>
    </w:p>
    <w:p>
      <w:pPr>
        <w:adjustRightInd w:val="0"/>
        <w:snapToGrid w:val="0"/>
        <w:spacing w:after="0" w:line="580" w:lineRule="exact"/>
        <w:ind w:firstLine="640" w:firstLineChars="200"/>
        <w:rPr>
          <w:rFonts w:ascii="??_GB2312" w:cs="DengXian-Regular"/>
          <w:sz w:val="32"/>
          <w:szCs w:val="32"/>
        </w:rPr>
      </w:pPr>
      <w:r>
        <w:rPr>
          <w:rFonts w:ascii="??_GB2312" w:eastAsia="Times New Roman" w:cs="DengXian-Regular"/>
          <w:sz w:val="32"/>
          <w:szCs w:val="32"/>
        </w:rPr>
        <w:t>（三）重点项目绩效评价结果。</w:t>
      </w:r>
    </w:p>
    <w:p>
      <w:pPr>
        <w:adjustRightInd w:val="0"/>
        <w:snapToGrid w:val="0"/>
        <w:spacing w:after="0" w:line="580" w:lineRule="exact"/>
        <w:ind w:firstLine="640" w:firstLineChars="200"/>
        <w:rPr>
          <w:rFonts w:ascii="??_GB2312" w:eastAsia="Times New Roman" w:cs="DengXian-Regular"/>
          <w:sz w:val="32"/>
          <w:szCs w:val="32"/>
        </w:rPr>
      </w:pPr>
      <w:r>
        <w:rPr>
          <w:rFonts w:ascii="??_GB2312" w:cs="DengXian-Regular"/>
          <w:sz w:val="32"/>
          <w:szCs w:val="32"/>
        </w:rPr>
        <w:t>2018</w:t>
      </w:r>
      <w:r>
        <w:rPr>
          <w:rFonts w:hint="eastAsia" w:ascii="??_GB2312" w:cs="DengXian-Regular"/>
          <w:sz w:val="32"/>
          <w:szCs w:val="32"/>
        </w:rPr>
        <w:t>年我单位乡镇安监站建设及装备采购费用为重点项目，经第三方进行绩效评价，公开绩效评价结果为良好。</w:t>
      </w:r>
    </w:p>
    <w:p>
      <w:pPr>
        <w:pStyle w:val="3"/>
        <w:spacing w:before="0" w:after="0" w:line="580" w:lineRule="exact"/>
        <w:ind w:firstLine="640" w:firstLineChars="200"/>
        <w:rPr>
          <w:rFonts w:ascii="黑体" w:eastAsia="黑体"/>
          <w:b w:val="0"/>
          <w:bCs w:val="0"/>
        </w:rPr>
      </w:pPr>
      <w:r>
        <w:rPr>
          <w:rFonts w:hint="eastAsia" w:ascii="黑体" w:eastAsia="黑体"/>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本部门2018年度机关运行经费支出</w:t>
      </w:r>
      <w:r>
        <w:rPr>
          <w:rFonts w:ascii="??_GB2312" w:cs="DengXian-Regular"/>
          <w:sz w:val="32"/>
          <w:szCs w:val="32"/>
        </w:rPr>
        <w:t>110.11</w:t>
      </w:r>
      <w:r>
        <w:rPr>
          <w:rFonts w:ascii="??_GB2312" w:eastAsia="Times New Roman" w:cs="DengXian-Regular"/>
          <w:sz w:val="32"/>
          <w:szCs w:val="32"/>
        </w:rPr>
        <w:t>万元，比年初预算数增加</w:t>
      </w:r>
      <w:r>
        <w:rPr>
          <w:rFonts w:ascii="??_GB2312" w:cs="DengXian-Regular"/>
          <w:sz w:val="32"/>
          <w:szCs w:val="32"/>
        </w:rPr>
        <w:t>11.47</w:t>
      </w:r>
      <w:r>
        <w:rPr>
          <w:rFonts w:ascii="??_GB2312" w:eastAsia="Times New Roman" w:cs="DengXian-Regular"/>
          <w:sz w:val="32"/>
          <w:szCs w:val="32"/>
        </w:rPr>
        <w:t>万元，增长</w:t>
      </w:r>
      <w:r>
        <w:rPr>
          <w:rFonts w:ascii="??_GB2312" w:cs="DengXian-Regular"/>
          <w:sz w:val="32"/>
          <w:szCs w:val="32"/>
        </w:rPr>
        <w:t>11.63</w:t>
      </w:r>
      <w:r>
        <w:rPr>
          <w:rFonts w:ascii="??_GB2312" w:eastAsia="Times New Roman" w:cs="DengXian-Regular"/>
          <w:sz w:val="32"/>
          <w:szCs w:val="32"/>
        </w:rPr>
        <w:t xml:space="preserve"> </w:t>
      </w:r>
      <w:r>
        <w:rPr>
          <w:rFonts w:eastAsia="Times New Roman"/>
          <w:sz w:val="32"/>
          <w:szCs w:val="32"/>
        </w:rPr>
        <w:t>%</w:t>
      </w:r>
      <w:r>
        <w:rPr>
          <w:rFonts w:ascii="??_GB2312" w:eastAsia="Times New Roman" w:cs="DengXian-Regular"/>
          <w:sz w:val="32"/>
          <w:szCs w:val="32"/>
        </w:rPr>
        <w:t>。主要是</w:t>
      </w:r>
      <w:r>
        <w:rPr>
          <w:rFonts w:hint="eastAsia" w:ascii="宋体" w:hAnsi="宋体"/>
          <w:color w:val="000000"/>
          <w:sz w:val="32"/>
        </w:rPr>
        <w:t>水费、电费、燃气费等支出增加</w:t>
      </w:r>
      <w:r>
        <w:rPr>
          <w:rFonts w:ascii="??_GB2312" w:eastAsia="Times New Roman" w:cs="DengXian-Regular"/>
          <w:sz w:val="32"/>
          <w:szCs w:val="32"/>
        </w:rPr>
        <w:t>。</w:t>
      </w:r>
      <w:r>
        <w:rPr>
          <w:rFonts w:hint="eastAsia" w:ascii="宋体" w:hAnsi="宋体" w:cs="宋体"/>
          <w:sz w:val="32"/>
          <w:szCs w:val="32"/>
        </w:rPr>
        <w:t>较</w:t>
      </w:r>
      <w:r>
        <w:rPr>
          <w:rFonts w:eastAsia="Times New Roman"/>
          <w:sz w:val="32"/>
          <w:szCs w:val="32"/>
        </w:rPr>
        <w:t>2017</w:t>
      </w:r>
      <w:r>
        <w:rPr>
          <w:rFonts w:hint="eastAsia" w:ascii="宋体" w:hAnsi="宋体" w:cs="宋体"/>
          <w:sz w:val="32"/>
          <w:szCs w:val="32"/>
        </w:rPr>
        <w:t>年度决算增加</w:t>
      </w:r>
      <w:r>
        <w:rPr>
          <w:rFonts w:ascii="宋体" w:hAnsi="宋体" w:cs="宋体"/>
          <w:sz w:val="32"/>
          <w:szCs w:val="32"/>
        </w:rPr>
        <w:t>18.82</w:t>
      </w:r>
      <w:r>
        <w:rPr>
          <w:rFonts w:hint="eastAsia" w:ascii="宋体" w:hAnsi="宋体" w:cs="宋体"/>
          <w:sz w:val="32"/>
          <w:szCs w:val="32"/>
        </w:rPr>
        <w:t>万元，增长</w:t>
      </w:r>
      <w:r>
        <w:rPr>
          <w:rFonts w:ascii="宋体" w:hAnsi="宋体" w:cs="宋体"/>
          <w:sz w:val="32"/>
          <w:szCs w:val="32"/>
        </w:rPr>
        <w:t>20.62</w:t>
      </w:r>
      <w:r>
        <w:rPr>
          <w:rFonts w:eastAsia="Times New Roman"/>
          <w:sz w:val="32"/>
          <w:szCs w:val="32"/>
        </w:rPr>
        <w:t>%</w:t>
      </w:r>
      <w:r>
        <w:rPr>
          <w:rFonts w:hint="eastAsia" w:ascii="宋体" w:hAnsi="宋体" w:cs="宋体"/>
          <w:sz w:val="32"/>
          <w:szCs w:val="32"/>
        </w:rPr>
        <w:t>，主要是</w:t>
      </w:r>
      <w:r>
        <w:rPr>
          <w:rFonts w:hint="eastAsia" w:ascii="宋体" w:hAnsi="宋体"/>
          <w:color w:val="000000"/>
          <w:sz w:val="32"/>
        </w:rPr>
        <w:t>水费、电费、燃气费等支出增加。</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_GB2312" w:cs="DengXian-Regular"/>
          <w:sz w:val="32"/>
          <w:szCs w:val="32"/>
        </w:rPr>
      </w:pPr>
      <w:r>
        <w:rPr>
          <w:rFonts w:ascii="??_GB2312" w:eastAsia="Times New Roman" w:cs="DengXian-Regular"/>
          <w:sz w:val="32"/>
          <w:szCs w:val="32"/>
        </w:rPr>
        <w:t>本部门2018年度政府采购支出总额</w:t>
      </w:r>
      <w:r>
        <w:rPr>
          <w:rFonts w:ascii="??_GB2312" w:cs="DengXian-Regular"/>
          <w:sz w:val="32"/>
          <w:szCs w:val="32"/>
        </w:rPr>
        <w:t>226.06</w:t>
      </w:r>
      <w:r>
        <w:rPr>
          <w:rFonts w:ascii="??_GB2312" w:eastAsia="Times New Roman" w:cs="DengXian-Regular"/>
          <w:sz w:val="32"/>
          <w:szCs w:val="32"/>
        </w:rPr>
        <w:t>万元，从采购类型来看，</w:t>
      </w:r>
      <w:r>
        <w:rPr>
          <w:rFonts w:hint="eastAsia" w:ascii="??_GB2312" w:hAnsi="??_GB2312" w:cs="??_GB2312"/>
          <w:color w:val="000000"/>
          <w:kern w:val="0"/>
          <w:sz w:val="32"/>
          <w:szCs w:val="32"/>
        </w:rPr>
        <w:t>政府采</w:t>
      </w:r>
      <w:r>
        <w:rPr>
          <w:rFonts w:hint="eastAsia" w:ascii="宋体" w:hAnsi="宋体" w:cs="宋体"/>
          <w:color w:val="000000"/>
          <w:kern w:val="0"/>
          <w:sz w:val="32"/>
          <w:szCs w:val="32"/>
        </w:rPr>
        <w:t>购货</w:t>
      </w:r>
      <w:r>
        <w:rPr>
          <w:rFonts w:hint="eastAsia" w:ascii="??_GB2312" w:hAnsi="??_GB2312" w:cs="??_GB2312"/>
          <w:color w:val="000000"/>
          <w:kern w:val="0"/>
          <w:sz w:val="32"/>
          <w:szCs w:val="32"/>
        </w:rPr>
        <w:t>物支出</w:t>
      </w:r>
      <w:r>
        <w:rPr>
          <w:rFonts w:ascii="??_GB2312" w:hAnsi="??_GB2312" w:cs="??_GB2312"/>
          <w:color w:val="000000"/>
          <w:kern w:val="0"/>
          <w:sz w:val="32"/>
          <w:szCs w:val="32"/>
        </w:rPr>
        <w:t>226.06</w:t>
      </w:r>
      <w:r>
        <w:rPr>
          <w:rFonts w:hint="eastAsia" w:ascii="??_GB2312" w:hAnsi="??_GB2312" w:cs="??_GB2312"/>
          <w:color w:val="000000"/>
          <w:kern w:val="0"/>
          <w:sz w:val="32"/>
          <w:szCs w:val="32"/>
        </w:rPr>
        <w:t>万元、政府采</w:t>
      </w:r>
      <w:r>
        <w:rPr>
          <w:rFonts w:hint="eastAsia" w:ascii="宋体" w:hAnsi="宋体" w:cs="宋体"/>
          <w:color w:val="000000"/>
          <w:kern w:val="0"/>
          <w:sz w:val="32"/>
          <w:szCs w:val="32"/>
        </w:rPr>
        <w:t>购</w:t>
      </w:r>
      <w:r>
        <w:rPr>
          <w:rFonts w:hint="eastAsia" w:ascii="??_GB2312" w:hAnsi="??_GB2312" w:cs="??_GB2312"/>
          <w:color w:val="000000"/>
          <w:kern w:val="0"/>
          <w:sz w:val="32"/>
          <w:szCs w:val="32"/>
        </w:rPr>
        <w:t>工程支出</w:t>
      </w:r>
      <w:r>
        <w:rPr>
          <w:rFonts w:ascii="??_GB2312" w:hAnsi="??_GB2312" w:cs="??_GB2312"/>
          <w:color w:val="000000"/>
          <w:kern w:val="0"/>
          <w:sz w:val="32"/>
          <w:szCs w:val="32"/>
        </w:rPr>
        <w:t>0</w:t>
      </w:r>
      <w:r>
        <w:rPr>
          <w:rFonts w:hint="eastAsia" w:ascii="??_GB2312" w:hAnsi="??_GB2312" w:cs="??_GB2312"/>
          <w:color w:val="000000"/>
          <w:kern w:val="0"/>
          <w:sz w:val="32"/>
          <w:szCs w:val="32"/>
        </w:rPr>
        <w:t>万元、政府采</w:t>
      </w:r>
      <w:r>
        <w:rPr>
          <w:rFonts w:hint="eastAsia" w:ascii="宋体" w:hAnsi="宋体" w:cs="宋体"/>
          <w:color w:val="000000"/>
          <w:kern w:val="0"/>
          <w:sz w:val="32"/>
          <w:szCs w:val="32"/>
        </w:rPr>
        <w:t>购</w:t>
      </w:r>
      <w:r>
        <w:rPr>
          <w:rFonts w:hint="eastAsia" w:ascii="??_GB2312" w:hAnsi="??_GB2312" w:cs="??_GB2312"/>
          <w:color w:val="000000"/>
          <w:kern w:val="0"/>
          <w:sz w:val="32"/>
          <w:szCs w:val="32"/>
        </w:rPr>
        <w:t>服</w:t>
      </w:r>
      <w:r>
        <w:rPr>
          <w:rFonts w:hint="eastAsia" w:ascii="宋体" w:hAnsi="宋体" w:cs="宋体"/>
          <w:color w:val="000000"/>
          <w:kern w:val="0"/>
          <w:sz w:val="32"/>
          <w:szCs w:val="32"/>
        </w:rPr>
        <w:t>务</w:t>
      </w:r>
      <w:r>
        <w:rPr>
          <w:rFonts w:hint="eastAsia" w:ascii="??_GB2312" w:hAnsi="??_GB2312" w:cs="??_GB2312"/>
          <w:color w:val="000000"/>
          <w:kern w:val="0"/>
          <w:sz w:val="32"/>
          <w:szCs w:val="32"/>
        </w:rPr>
        <w:t>支出</w:t>
      </w:r>
      <w:r>
        <w:rPr>
          <w:rFonts w:ascii="??_GB2312" w:hAnsi="??_GB2312" w:cs="??_GB2312"/>
          <w:color w:val="000000"/>
          <w:kern w:val="0"/>
          <w:sz w:val="32"/>
          <w:szCs w:val="32"/>
        </w:rPr>
        <w:t>0</w:t>
      </w:r>
      <w:r>
        <w:rPr>
          <w:rFonts w:hint="eastAsia" w:ascii="??_GB2312" w:hAnsi="??_GB2312" w:cs="??_GB2312"/>
          <w:color w:val="000000"/>
          <w:kern w:val="0"/>
          <w:sz w:val="32"/>
          <w:szCs w:val="32"/>
        </w:rPr>
        <w:t>万元。授予中小企</w:t>
      </w:r>
      <w:r>
        <w:rPr>
          <w:rFonts w:hint="eastAsia" w:ascii="宋体" w:hAnsi="宋体" w:cs="宋体"/>
          <w:color w:val="000000"/>
          <w:kern w:val="0"/>
          <w:sz w:val="32"/>
          <w:szCs w:val="32"/>
        </w:rPr>
        <w:t>业</w:t>
      </w:r>
      <w:r>
        <w:rPr>
          <w:rFonts w:hint="eastAsia" w:ascii="??_GB2312" w:hAnsi="??_GB2312" w:cs="??_GB2312"/>
          <w:color w:val="000000"/>
          <w:kern w:val="0"/>
          <w:sz w:val="32"/>
          <w:szCs w:val="32"/>
        </w:rPr>
        <w:t>合同金额</w:t>
      </w:r>
      <w:r>
        <w:rPr>
          <w:rFonts w:ascii="??_GB2312" w:hAnsi="??_GB2312" w:cs="??_GB2312"/>
          <w:color w:val="000000"/>
          <w:kern w:val="0"/>
          <w:sz w:val="32"/>
          <w:szCs w:val="32"/>
        </w:rPr>
        <w:t>226.06</w:t>
      </w:r>
      <w:r>
        <w:rPr>
          <w:rFonts w:hint="eastAsia" w:ascii="??_GB2312" w:hAnsi="??_GB2312" w:cs="??_GB2312"/>
          <w:color w:val="000000"/>
          <w:kern w:val="0"/>
          <w:sz w:val="32"/>
          <w:szCs w:val="32"/>
        </w:rPr>
        <w:t>万元，</w:t>
      </w:r>
      <w:r>
        <w:rPr>
          <w:rFonts w:hint="eastAsia" w:ascii="??_GB2312" w:hAnsi="??_GB2312" w:cs="??_GB2312"/>
          <w:color w:val="000000"/>
          <w:kern w:val="0"/>
          <w:sz w:val="32"/>
          <w:szCs w:val="32"/>
          <w:lang w:val="en-US" w:eastAsia="zh-CN"/>
        </w:rPr>
        <w:t>占政府采购支出总额的100%，</w:t>
      </w:r>
      <w:bookmarkStart w:id="0" w:name="_GoBack"/>
      <w:bookmarkEnd w:id="0"/>
      <w:r>
        <w:rPr>
          <w:rFonts w:hint="eastAsia" w:ascii="??_GB2312" w:hAnsi="??_GB2312" w:cs="??_GB2312"/>
          <w:color w:val="000000"/>
          <w:kern w:val="0"/>
          <w:sz w:val="32"/>
          <w:szCs w:val="32"/>
        </w:rPr>
        <w:t>其中小微企</w:t>
      </w:r>
      <w:r>
        <w:rPr>
          <w:rFonts w:hint="eastAsia" w:ascii="宋体" w:hAnsi="宋体" w:cs="宋体"/>
          <w:color w:val="000000"/>
          <w:kern w:val="0"/>
          <w:sz w:val="32"/>
          <w:szCs w:val="32"/>
        </w:rPr>
        <w:t>业</w:t>
      </w:r>
      <w:r>
        <w:rPr>
          <w:rFonts w:hint="eastAsia" w:ascii="??_GB2312" w:hAnsi="??_GB2312" w:cs="??_GB2312"/>
          <w:color w:val="000000"/>
          <w:kern w:val="0"/>
          <w:sz w:val="32"/>
          <w:szCs w:val="32"/>
        </w:rPr>
        <w:t>合同金额</w:t>
      </w:r>
      <w:r>
        <w:rPr>
          <w:rFonts w:ascii="??_GB2312" w:hAnsi="??_GB2312" w:cs="??_GB2312"/>
          <w:color w:val="000000"/>
          <w:kern w:val="0"/>
          <w:sz w:val="32"/>
          <w:szCs w:val="32"/>
        </w:rPr>
        <w:t>226.06</w:t>
      </w:r>
      <w:r>
        <w:rPr>
          <w:rFonts w:hint="eastAsia" w:ascii="??_GB2312" w:hAnsi="??_GB2312" w:cs="??_GB2312"/>
          <w:color w:val="000000"/>
          <w:kern w:val="0"/>
          <w:sz w:val="32"/>
          <w:szCs w:val="32"/>
        </w:rPr>
        <w:t>万元，占政府采</w:t>
      </w:r>
      <w:r>
        <w:rPr>
          <w:rFonts w:hint="eastAsia" w:ascii="宋体" w:hAnsi="宋体" w:cs="宋体"/>
          <w:color w:val="000000"/>
          <w:kern w:val="0"/>
          <w:sz w:val="32"/>
          <w:szCs w:val="32"/>
        </w:rPr>
        <w:t>购</w:t>
      </w:r>
      <w:r>
        <w:rPr>
          <w:rFonts w:hint="eastAsia" w:ascii="??_GB2312" w:hAnsi="??_GB2312" w:cs="??_GB2312"/>
          <w:color w:val="000000"/>
          <w:kern w:val="0"/>
          <w:sz w:val="32"/>
          <w:szCs w:val="32"/>
        </w:rPr>
        <w:t>支出</w:t>
      </w:r>
      <w:r>
        <w:rPr>
          <w:rFonts w:hint="eastAsia" w:ascii="宋体" w:hAnsi="宋体" w:cs="宋体"/>
          <w:color w:val="000000"/>
          <w:kern w:val="0"/>
          <w:sz w:val="32"/>
          <w:szCs w:val="32"/>
        </w:rPr>
        <w:t>总额</w:t>
      </w:r>
      <w:r>
        <w:rPr>
          <w:rFonts w:hint="eastAsia" w:ascii="??_GB2312" w:hAnsi="??_GB2312" w:cs="??_GB2312"/>
          <w:color w:val="000000"/>
          <w:kern w:val="0"/>
          <w:sz w:val="32"/>
          <w:szCs w:val="32"/>
        </w:rPr>
        <w:t>的</w:t>
      </w:r>
      <w:r>
        <w:rPr>
          <w:rFonts w:ascii="??_GB2312" w:hAnsi="??_GB2312" w:cs="??_GB2312"/>
          <w:color w:val="000000"/>
          <w:kern w:val="0"/>
          <w:sz w:val="32"/>
          <w:szCs w:val="32"/>
        </w:rPr>
        <w:t>100%</w:t>
      </w:r>
      <w:r>
        <w:rPr>
          <w:rFonts w:hint="eastAsia" w:ascii="??_GB2312" w:hAnsi="??_GB2312" w:cs="??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截至2018年12月31日，本部门共有车辆</w:t>
      </w:r>
      <w:r>
        <w:rPr>
          <w:rFonts w:ascii="??_GB2312" w:cs="DengXian-Regular"/>
          <w:sz w:val="32"/>
          <w:szCs w:val="32"/>
        </w:rPr>
        <w:t>9</w:t>
      </w:r>
      <w:r>
        <w:rPr>
          <w:rFonts w:ascii="??_GB2312" w:eastAsia="Times New Roman" w:cs="DengXian-Regular"/>
          <w:sz w:val="32"/>
          <w:szCs w:val="32"/>
        </w:rPr>
        <w:t>辆，比上年增减少</w:t>
      </w:r>
      <w:r>
        <w:rPr>
          <w:rFonts w:ascii="??_GB2312" w:cs="DengXian-Regular"/>
          <w:sz w:val="32"/>
          <w:szCs w:val="32"/>
        </w:rPr>
        <w:t>4</w:t>
      </w:r>
      <w:r>
        <w:rPr>
          <w:rFonts w:ascii="??_GB2312" w:eastAsia="Times New Roman" w:cs="DengXian-Regular"/>
          <w:sz w:val="32"/>
          <w:szCs w:val="32"/>
        </w:rPr>
        <w:t>辆，主要是</w:t>
      </w:r>
      <w:r>
        <w:rPr>
          <w:rFonts w:hint="eastAsia" w:ascii="??_GB2312" w:cs="DengXian-Regular"/>
          <w:sz w:val="32"/>
          <w:szCs w:val="32"/>
        </w:rPr>
        <w:t>按照市公务用车标准减少公务配置</w:t>
      </w:r>
      <w:r>
        <w:rPr>
          <w:rFonts w:ascii="??_GB2312" w:eastAsia="Times New Roman" w:cs="DengXian-Regular"/>
          <w:sz w:val="32"/>
          <w:szCs w:val="32"/>
        </w:rPr>
        <w:t>。其中，副部（省）级及以上领导用车</w:t>
      </w:r>
      <w:r>
        <w:rPr>
          <w:rFonts w:ascii="??_GB2312" w:cs="DengXian-Regular"/>
          <w:sz w:val="32"/>
          <w:szCs w:val="32"/>
        </w:rPr>
        <w:t>0</w:t>
      </w:r>
      <w:r>
        <w:rPr>
          <w:rFonts w:ascii="??_GB2312" w:eastAsia="Times New Roman" w:cs="DengXian-Regular"/>
          <w:sz w:val="32"/>
          <w:szCs w:val="32"/>
        </w:rPr>
        <w:t>辆，主要领导干部用车</w:t>
      </w:r>
      <w:r>
        <w:rPr>
          <w:rFonts w:ascii="??_GB2312" w:cs="DengXian-Regular"/>
          <w:sz w:val="32"/>
          <w:szCs w:val="32"/>
        </w:rPr>
        <w:t>0</w:t>
      </w:r>
      <w:r>
        <w:rPr>
          <w:rFonts w:ascii="??_GB2312" w:eastAsia="Times New Roman" w:cs="DengXian-Regular"/>
          <w:sz w:val="32"/>
          <w:szCs w:val="32"/>
        </w:rPr>
        <w:t>辆，机要通信用车</w:t>
      </w:r>
      <w:r>
        <w:rPr>
          <w:rFonts w:ascii="??_GB2312" w:cs="DengXian-Regular"/>
          <w:sz w:val="32"/>
          <w:szCs w:val="32"/>
        </w:rPr>
        <w:t>2</w:t>
      </w:r>
      <w:r>
        <w:rPr>
          <w:rFonts w:ascii="??_GB2312" w:eastAsia="Times New Roman" w:cs="DengXian-Regular"/>
          <w:sz w:val="32"/>
          <w:szCs w:val="32"/>
        </w:rPr>
        <w:t>辆，应急保障用车</w:t>
      </w:r>
      <w:r>
        <w:rPr>
          <w:rFonts w:ascii="??_GB2312" w:cs="DengXian-Regular"/>
          <w:sz w:val="32"/>
          <w:szCs w:val="32"/>
        </w:rPr>
        <w:t>0</w:t>
      </w:r>
      <w:r>
        <w:rPr>
          <w:rFonts w:ascii="??_GB2312" w:eastAsia="Times New Roman" w:cs="DengXian-Regular"/>
          <w:sz w:val="32"/>
          <w:szCs w:val="32"/>
        </w:rPr>
        <w:t>辆，执法执勤用车</w:t>
      </w:r>
      <w:r>
        <w:rPr>
          <w:rFonts w:ascii="??_GB2312" w:cs="DengXian-Regular"/>
          <w:sz w:val="32"/>
          <w:szCs w:val="32"/>
        </w:rPr>
        <w:t>7</w:t>
      </w:r>
      <w:r>
        <w:rPr>
          <w:rFonts w:ascii="??_GB2312" w:eastAsia="Times New Roman" w:cs="DengXian-Regular"/>
          <w:sz w:val="32"/>
          <w:szCs w:val="32"/>
        </w:rPr>
        <w:t>辆，特种专业技术用车</w:t>
      </w:r>
      <w:r>
        <w:rPr>
          <w:rFonts w:ascii="??_GB2312" w:cs="DengXian-Regular"/>
          <w:sz w:val="32"/>
          <w:szCs w:val="32"/>
        </w:rPr>
        <w:t>0</w:t>
      </w:r>
      <w:r>
        <w:rPr>
          <w:rFonts w:ascii="??_GB2312" w:eastAsia="Times New Roman" w:cs="DengXian-Regular"/>
          <w:sz w:val="32"/>
          <w:szCs w:val="32"/>
        </w:rPr>
        <w:t>辆，离退休干部用车</w:t>
      </w:r>
      <w:r>
        <w:rPr>
          <w:rFonts w:ascii="??_GB2312" w:cs="DengXian-Regular"/>
          <w:sz w:val="32"/>
          <w:szCs w:val="32"/>
        </w:rPr>
        <w:t>0</w:t>
      </w:r>
      <w:r>
        <w:rPr>
          <w:rFonts w:ascii="??_GB2312" w:eastAsia="Times New Roman" w:cs="DengXian-Regular"/>
          <w:sz w:val="32"/>
          <w:szCs w:val="32"/>
        </w:rPr>
        <w:t>辆，其他用车</w:t>
      </w:r>
      <w:r>
        <w:rPr>
          <w:rFonts w:ascii="??_GB2312" w:cs="DengXian-Regular"/>
          <w:sz w:val="32"/>
          <w:szCs w:val="32"/>
        </w:rPr>
        <w:t>0</w:t>
      </w:r>
      <w:r>
        <w:rPr>
          <w:rFonts w:ascii="??_GB2312" w:eastAsia="Times New Roman" w:cs="DengXian-Regular"/>
          <w:sz w:val="32"/>
          <w:szCs w:val="32"/>
        </w:rPr>
        <w:t>辆；单位价值</w:t>
      </w:r>
      <w:r>
        <w:rPr>
          <w:rFonts w:ascii="??_GB2312" w:hAnsi="TimesNewRomanPSMT" w:eastAsia="Times New Roman" w:cs="TimesNewRomanPSMT"/>
          <w:sz w:val="32"/>
          <w:szCs w:val="32"/>
        </w:rPr>
        <w:t>50</w:t>
      </w:r>
      <w:r>
        <w:rPr>
          <w:rFonts w:ascii="??_GB2312" w:eastAsia="Times New Roman" w:cs="DengXian-Regular"/>
          <w:sz w:val="32"/>
          <w:szCs w:val="32"/>
        </w:rPr>
        <w:t>万元以上通用设备</w:t>
      </w:r>
      <w:r>
        <w:rPr>
          <w:rFonts w:ascii="??_GB2312" w:cs="DengXian-Regular"/>
          <w:sz w:val="32"/>
          <w:szCs w:val="32"/>
        </w:rPr>
        <w:t>0</w:t>
      </w:r>
      <w:r>
        <w:rPr>
          <w:rFonts w:ascii="??_GB2312" w:eastAsia="Times New Roman" w:cs="DengXian-Regular"/>
          <w:sz w:val="32"/>
          <w:szCs w:val="32"/>
        </w:rPr>
        <w:t>台（套），</w:t>
      </w:r>
      <w:r>
        <w:rPr>
          <w:rFonts w:hint="eastAsia" w:ascii="??_GB2312" w:cs="DengXian-Regular"/>
          <w:sz w:val="32"/>
          <w:szCs w:val="32"/>
        </w:rPr>
        <w:t>较</w:t>
      </w:r>
      <w:r>
        <w:rPr>
          <w:rFonts w:ascii="??_GB2312" w:eastAsia="Times New Roman" w:cs="DengXian-Regular"/>
          <w:sz w:val="32"/>
          <w:szCs w:val="32"/>
        </w:rPr>
        <w:t>上年</w:t>
      </w:r>
      <w:r>
        <w:rPr>
          <w:rFonts w:hint="eastAsia" w:ascii="??_GB2312" w:cs="DengXian-Regular"/>
          <w:sz w:val="32"/>
          <w:szCs w:val="32"/>
        </w:rPr>
        <w:t>无</w:t>
      </w:r>
      <w:r>
        <w:rPr>
          <w:rFonts w:ascii="??_GB2312" w:eastAsia="Times New Roman" w:cs="DengXian-Regular"/>
          <w:sz w:val="32"/>
          <w:szCs w:val="32"/>
        </w:rPr>
        <w:t>增</w:t>
      </w:r>
      <w:r>
        <w:rPr>
          <w:rFonts w:hint="eastAsia" w:ascii="??_GB2312" w:cs="DengXian-Regular"/>
          <w:sz w:val="32"/>
          <w:szCs w:val="32"/>
        </w:rPr>
        <w:t>减变化</w:t>
      </w:r>
      <w:r>
        <w:rPr>
          <w:rFonts w:ascii="??_GB2312" w:eastAsia="Times New Roman" w:cs="DengXian-Regular"/>
          <w:sz w:val="32"/>
          <w:szCs w:val="32"/>
        </w:rPr>
        <w:t>，单位价值</w:t>
      </w:r>
      <w:r>
        <w:rPr>
          <w:rFonts w:ascii="??_GB2312" w:hAnsi="TimesNewRomanPSMT" w:eastAsia="Times New Roman" w:cs="TimesNewRomanPSMT"/>
          <w:sz w:val="32"/>
          <w:szCs w:val="32"/>
        </w:rPr>
        <w:t>100</w:t>
      </w:r>
      <w:r>
        <w:rPr>
          <w:rFonts w:ascii="??_GB2312" w:eastAsia="Times New Roman" w:cs="DengXian-Regular"/>
          <w:sz w:val="32"/>
          <w:szCs w:val="32"/>
        </w:rPr>
        <w:t>万元以上专用设备</w:t>
      </w:r>
      <w:r>
        <w:rPr>
          <w:rFonts w:ascii="??_GB2312" w:cs="DengXian-Regular"/>
          <w:sz w:val="32"/>
          <w:szCs w:val="32"/>
        </w:rPr>
        <w:t>0</w:t>
      </w:r>
      <w:r>
        <w:rPr>
          <w:rFonts w:ascii="??_GB2312" w:eastAsia="Times New Roman" w:cs="DengXian-Regular"/>
          <w:sz w:val="32"/>
          <w:szCs w:val="32"/>
        </w:rPr>
        <w:t>台（套）</w:t>
      </w:r>
      <w:r>
        <w:rPr>
          <w:rFonts w:ascii="??_GB2312" w:cs="DengXian-Regular"/>
          <w:sz w:val="32"/>
          <w:szCs w:val="32"/>
        </w:rPr>
        <w:t>,</w:t>
      </w:r>
      <w:r>
        <w:rPr>
          <w:rFonts w:hint="eastAsia" w:ascii="??_GB2312" w:cs="DengXian-Regular"/>
          <w:sz w:val="32"/>
          <w:szCs w:val="32"/>
        </w:rPr>
        <w:t>较</w:t>
      </w:r>
      <w:r>
        <w:rPr>
          <w:rFonts w:ascii="??_GB2312" w:eastAsia="Times New Roman" w:cs="DengXian-Regular"/>
          <w:sz w:val="32"/>
          <w:szCs w:val="32"/>
        </w:rPr>
        <w:t>上年</w:t>
      </w:r>
      <w:r>
        <w:rPr>
          <w:rFonts w:hint="eastAsia" w:ascii="??_GB2312" w:cs="DengXian-Regular"/>
          <w:sz w:val="32"/>
          <w:szCs w:val="32"/>
        </w:rPr>
        <w:t>无</w:t>
      </w:r>
      <w:r>
        <w:rPr>
          <w:rFonts w:ascii="??_GB2312" w:eastAsia="Times New Roman" w:cs="DengXian-Regular"/>
          <w:sz w:val="32"/>
          <w:szCs w:val="32"/>
        </w:rPr>
        <w:t>增减</w:t>
      </w:r>
      <w:r>
        <w:rPr>
          <w:rFonts w:hint="eastAsia" w:ascii="??_GB2312" w:cs="DengXian-Regular"/>
          <w:sz w:val="32"/>
          <w:szCs w:val="32"/>
        </w:rPr>
        <w:t>变化</w:t>
      </w:r>
      <w:r>
        <w:rPr>
          <w:rFonts w:ascii="??_GB2312" w:eastAsia="Times New Roman"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1、本部门2018年度</w:t>
      </w:r>
      <w:r>
        <w:rPr>
          <w:rFonts w:hint="eastAsia" w:ascii="??_GB2312" w:cs="DengXian-Regular"/>
          <w:sz w:val="32"/>
          <w:szCs w:val="32"/>
        </w:rPr>
        <w:t>政府性基金预算财政拨款和国有资本经营预算财政拨款</w:t>
      </w:r>
      <w:r>
        <w:rPr>
          <w:rFonts w:ascii="??_GB2312" w:eastAsia="Times New Roman" w:cs="DengXian-Regular"/>
          <w:sz w:val="32"/>
          <w:szCs w:val="32"/>
        </w:rPr>
        <w:t>无收支及结转结余情况，故</w:t>
      </w:r>
      <w:r>
        <w:rPr>
          <w:rFonts w:hint="eastAsia" w:ascii="??_GB2312" w:cs="DengXian-Regular"/>
          <w:sz w:val="32"/>
          <w:szCs w:val="32"/>
        </w:rPr>
        <w:t>公开</w:t>
      </w:r>
      <w:r>
        <w:rPr>
          <w:rFonts w:ascii="??_GB2312" w:cs="DengXian-Regular"/>
          <w:sz w:val="32"/>
          <w:szCs w:val="32"/>
        </w:rPr>
        <w:t>08</w:t>
      </w:r>
      <w:r>
        <w:rPr>
          <w:rFonts w:ascii="??_GB2312" w:eastAsia="Times New Roman" w:cs="DengXian-Regular"/>
          <w:sz w:val="32"/>
          <w:szCs w:val="32"/>
        </w:rPr>
        <w:t>表</w:t>
      </w:r>
      <w:r>
        <w:rPr>
          <w:rFonts w:hint="eastAsia" w:ascii="??_GB2312" w:cs="DengXian-Regular"/>
          <w:sz w:val="32"/>
          <w:szCs w:val="32"/>
        </w:rPr>
        <w:t>和公开</w:t>
      </w:r>
      <w:r>
        <w:rPr>
          <w:rFonts w:ascii="??_GB2312" w:cs="DengXian-Regular"/>
          <w:sz w:val="32"/>
          <w:szCs w:val="32"/>
        </w:rPr>
        <w:t>09</w:t>
      </w:r>
      <w:r>
        <w:rPr>
          <w:rFonts w:hint="eastAsia" w:ascii="??_GB2312" w:cs="DengXian-Regular"/>
          <w:sz w:val="32"/>
          <w:szCs w:val="32"/>
        </w:rPr>
        <w:t>表</w:t>
      </w:r>
      <w:r>
        <w:rPr>
          <w:rFonts w:ascii="??_GB2312" w:eastAsia="Times New Roman" w:cs="DengXian-Regular"/>
          <w:sz w:val="32"/>
          <w:szCs w:val="32"/>
        </w:rPr>
        <w:t>以空表列示。</w:t>
      </w:r>
    </w:p>
    <w:p>
      <w:pPr>
        <w:adjustRightInd w:val="0"/>
        <w:snapToGrid w:val="0"/>
        <w:spacing w:after="0" w:line="580" w:lineRule="exact"/>
        <w:ind w:firstLine="640" w:firstLineChars="200"/>
        <w:rPr>
          <w:rFonts w:ascii="??_GB2312" w:eastAsia="Times New Roman" w:cs="DengXian-Regular"/>
          <w:sz w:val="32"/>
          <w:szCs w:val="32"/>
        </w:rPr>
      </w:pPr>
      <w:r>
        <w:rPr>
          <w:rFonts w:ascii="??_GB2312" w:eastAsia="Times New Roman"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（一）财政拨款收入：</w:t>
      </w:r>
      <w:r>
        <w:rPr>
          <w:rFonts w:ascii="??_GB2312" w:hAnsi="宋体" w:eastAsia="Times New Roman"/>
          <w:color w:val="000000"/>
          <w:kern w:val="0"/>
          <w:sz w:val="32"/>
          <w:szCs w:val="32"/>
        </w:rPr>
        <w:t>本年度从本级财政部门取得的财政拨款，包括一般公共预算财政拨款和政府性基金预算财政拨款。</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（二）事业收入：</w:t>
      </w:r>
      <w:r>
        <w:rPr>
          <w:rFonts w:ascii="??_GB2312" w:hAnsi="宋体" w:eastAsia="Times New Roman"/>
          <w:color w:val="000000"/>
          <w:kern w:val="0"/>
          <w:sz w:val="32"/>
          <w:szCs w:val="32"/>
        </w:rPr>
        <w:t>指事业单位开展专业业务活动及辅助活动所取得的收入。</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（三）其他收入：</w:t>
      </w:r>
      <w:r>
        <w:rPr>
          <w:rFonts w:ascii="??_GB2312" w:hAnsi="宋体" w:eastAsia="Times New Roman"/>
          <w:color w:val="000000"/>
          <w:kern w:val="0"/>
          <w:sz w:val="32"/>
          <w:szCs w:val="32"/>
        </w:rPr>
        <w:t>指除上述“财政拨款收入”“事业收入”“经营收入”等以外的收入。</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（四）用事业基金弥补收支差额：</w:t>
      </w:r>
      <w:r>
        <w:rPr>
          <w:rFonts w:ascii="??_GB2312" w:hAnsi="宋体" w:eastAsia="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（五）年初结转和结余：</w:t>
      </w:r>
      <w:r>
        <w:rPr>
          <w:rFonts w:ascii="??_GB2312" w:hAnsi="宋体" w:eastAsia="Times New Roman"/>
          <w:color w:val="000000"/>
          <w:kern w:val="0"/>
          <w:sz w:val="32"/>
          <w:szCs w:val="32"/>
        </w:rPr>
        <w:t>指以前年度尚未完成、结转到本年仍按原规定用途继续使用的资金，或项目已完成等产生的结余资金。</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（六）结余分配：</w:t>
      </w:r>
      <w:r>
        <w:rPr>
          <w:rFonts w:ascii="??_GB2312" w:hAnsi="宋体" w:eastAsia="Times New Roman"/>
          <w:color w:val="000000"/>
          <w:kern w:val="0"/>
          <w:sz w:val="32"/>
          <w:szCs w:val="32"/>
        </w:rPr>
        <w:t>指事业单位按照事业单位会计制度的规定从非财政补助结余中分配的事业基金和职工福利基金等。</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（七）年末结转和结余：</w:t>
      </w:r>
      <w:r>
        <w:rPr>
          <w:rFonts w:ascii="??_GB2312" w:hAnsi="宋体" w:eastAsia="Times New Roman"/>
          <w:color w:val="000000"/>
          <w:kern w:val="0"/>
          <w:sz w:val="32"/>
          <w:szCs w:val="32"/>
        </w:rPr>
        <w:t>指单位按有关规定结转到下年或以后年度继续使用的资金，或项目已完成等产生的结余资金。</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（八）基本支出：</w:t>
      </w:r>
      <w:r>
        <w:rPr>
          <w:rFonts w:ascii="??_GB2312" w:hAnsi="宋体" w:eastAsia="Times New Roman"/>
          <w:color w:val="000000"/>
          <w:kern w:val="0"/>
          <w:sz w:val="32"/>
          <w:szCs w:val="32"/>
        </w:rPr>
        <w:t>填列单位为保障机构正常运转、完成日常工作任务而发生的各项支出。</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（九）项目支出：</w:t>
      </w:r>
      <w:r>
        <w:rPr>
          <w:rFonts w:ascii="??_GB2312" w:hAnsi="宋体" w:eastAsia="Times New Roman"/>
          <w:color w:val="000000"/>
          <w:kern w:val="0"/>
          <w:sz w:val="32"/>
          <w:szCs w:val="32"/>
        </w:rPr>
        <w:t>填列单位为完成特定的行政工作任务或事业发展目标，在基本支出之外发生的各项支出</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（十）资本性支出（基本建设）：</w:t>
      </w:r>
      <w:r>
        <w:rPr>
          <w:rFonts w:ascii="??_GB2312" w:hAnsi="宋体" w:eastAsia="Times New Roman"/>
          <w:color w:val="000000"/>
          <w:kern w:val="0"/>
          <w:sz w:val="32"/>
          <w:szCs w:val="32"/>
        </w:rPr>
        <w:t>填列切块由发展改革部门安排的基本建设支出，对企业补助支出不在此科目反映。</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（十一）资本性支出：</w:t>
      </w:r>
      <w:r>
        <w:rPr>
          <w:rFonts w:ascii="??_GB2312" w:hAnsi="宋体" w:eastAsia="Times New Roman"/>
          <w:color w:val="000000"/>
          <w:kern w:val="0"/>
          <w:sz w:val="32"/>
          <w:szCs w:val="32"/>
        </w:rPr>
        <w:t>填列各单位安排的资本性支出。切块由发展改革部门安排的基本建设支出不在此科目反映。</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（十二）“三公”经费：</w:t>
      </w:r>
      <w:r>
        <w:rPr>
          <w:rFonts w:ascii="??_GB2312" w:hAnsi="宋体" w:eastAsia="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（十三）其他交通费用：</w:t>
      </w:r>
      <w:r>
        <w:rPr>
          <w:rFonts w:ascii="??_GB2312" w:hAnsi="宋体" w:eastAsia="Times New Roman"/>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（十四）公务用车购置：</w:t>
      </w:r>
      <w:r>
        <w:rPr>
          <w:rFonts w:ascii="??_GB2312" w:hAnsi="宋体" w:eastAsia="Times New Roman"/>
          <w:color w:val="000000"/>
          <w:kern w:val="0"/>
          <w:sz w:val="32"/>
          <w:szCs w:val="32"/>
        </w:rPr>
        <w:t>填列单位公务用车购置支出（含车辆购置税、牌照费）。</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（十五）其他交通工具购置：</w:t>
      </w:r>
      <w:r>
        <w:rPr>
          <w:rFonts w:ascii="??_GB2312" w:hAnsi="宋体" w:eastAsia="Times New Roman"/>
          <w:color w:val="000000"/>
          <w:kern w:val="0"/>
          <w:sz w:val="32"/>
          <w:szCs w:val="32"/>
        </w:rPr>
        <w:t>填列单位除公务用车外的其他各类交通工具（如船舶、飞机）购置支出（含车辆购置税、牌照费）。</w:t>
      </w:r>
    </w:p>
    <w:p>
      <w:pPr>
        <w:widowControl/>
        <w:spacing w:after="0" w:line="560" w:lineRule="exact"/>
        <w:ind w:firstLine="640" w:firstLineChars="200"/>
        <w:rPr>
          <w:rFonts w:ascii="??_GB2312" w:hAnsi="宋体" w:eastAsia="Times New Roman"/>
          <w:color w:val="000000"/>
          <w:kern w:val="0"/>
          <w:sz w:val="32"/>
          <w:szCs w:val="32"/>
        </w:rPr>
      </w:pPr>
      <w:r>
        <w:rPr>
          <w:rFonts w:ascii="??_GB2312" w:hAnsi="宋体" w:eastAsia="Times New Roman"/>
          <w:b/>
          <w:bCs/>
          <w:color w:val="000000"/>
          <w:kern w:val="0"/>
          <w:sz w:val="32"/>
          <w:szCs w:val="32"/>
        </w:rPr>
        <w:t>（十六）机关运行经费：</w:t>
      </w:r>
      <w:r>
        <w:rPr>
          <w:rFonts w:ascii="??_GB2312" w:hAnsi="宋体" w:eastAsia="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0" w:firstLineChars="200"/>
        <w:rPr>
          <w:rFonts w:ascii="??_GB2312" w:hAnsi="Cambria" w:eastAsia="Times New Roman" w:cs="ArialUnicodeMS"/>
          <w:kern w:val="0"/>
          <w:sz w:val="32"/>
          <w:szCs w:val="32"/>
        </w:rPr>
      </w:pPr>
      <w:r>
        <w:rPr>
          <w:rFonts w:ascii="??_GB2312" w:hAnsi="宋体" w:eastAsia="Times New Roman"/>
          <w:b/>
          <w:bCs/>
          <w:color w:val="000000"/>
          <w:kern w:val="0"/>
          <w:sz w:val="32"/>
          <w:szCs w:val="32"/>
        </w:rPr>
        <w:t>（十七）经费形式:</w:t>
      </w:r>
      <w:r>
        <w:rPr>
          <w:rFonts w:ascii="??_GB2312" w:hAnsi="宋体" w:eastAsia="Times New Roman"/>
          <w:color w:val="000000"/>
          <w:kern w:val="0"/>
          <w:sz w:val="32"/>
          <w:szCs w:val="32"/>
        </w:rPr>
        <w:t>按照经费来源，</w:t>
      </w:r>
      <w:r>
        <w:rPr>
          <w:rFonts w:ascii="??_GB2312" w:hAnsi="Cambria" w:eastAsia="Times New Roman"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_GB2312" w:hAnsi="Cambria" w:eastAsia="Times New Roman" w:cs="ArialUnicodeMS"/>
          <w:kern w:val="0"/>
          <w:sz w:val="32"/>
          <w:szCs w:val="32"/>
        </w:rPr>
      </w:pPr>
    </w:p>
    <w:p>
      <w:pPr>
        <w:widowControl/>
        <w:spacing w:after="0" w:line="560" w:lineRule="exact"/>
        <w:ind w:firstLine="640" w:firstLineChars="200"/>
        <w:rPr>
          <w:rFonts w:ascii="??_GB2312" w:hAnsi="Cambria" w:eastAsia="Times New Roman" w:cs="ArialUnicodeMS"/>
          <w:kern w:val="0"/>
          <w:sz w:val="32"/>
          <w:szCs w:val="32"/>
        </w:rPr>
      </w:pPr>
    </w:p>
    <w:p>
      <w:pPr>
        <w:widowControl/>
        <w:spacing w:after="0" w:line="560" w:lineRule="exact"/>
        <w:ind w:firstLine="640" w:firstLineChars="200"/>
        <w:rPr>
          <w:rFonts w:ascii="??_GB2312" w:hAnsi="Cambria" w:eastAsia="Times New Roman" w:cs="ArialUnicodeMS"/>
          <w:kern w:val="0"/>
          <w:sz w:val="32"/>
          <w:szCs w:val="32"/>
        </w:rPr>
      </w:pPr>
    </w:p>
    <w:p>
      <w:pPr>
        <w:widowControl/>
        <w:spacing w:after="0" w:line="560" w:lineRule="exact"/>
        <w:ind w:firstLine="640" w:firstLineChars="200"/>
        <w:rPr>
          <w:rFonts w:ascii="??_GB2312" w:hAnsi="Cambria" w:eastAsia="Times New Roman" w:cs="ArialUnicodeMS"/>
          <w:kern w:val="0"/>
          <w:sz w:val="32"/>
          <w:szCs w:val="32"/>
        </w:rPr>
      </w:pPr>
    </w:p>
    <w:p>
      <w:pPr>
        <w:widowControl/>
        <w:spacing w:after="0" w:line="560" w:lineRule="exact"/>
        <w:ind w:firstLine="640" w:firstLineChars="200"/>
        <w:rPr>
          <w:rFonts w:ascii="??_GB2312" w:hAnsi="Cambria" w:eastAsia="Times New Roman" w:cs="ArialUnicodeMS"/>
          <w:kern w:val="0"/>
          <w:sz w:val="32"/>
          <w:szCs w:val="32"/>
        </w:rPr>
      </w:pPr>
    </w:p>
    <w:p>
      <w:pPr>
        <w:widowControl/>
        <w:spacing w:after="0" w:line="560" w:lineRule="exact"/>
        <w:ind w:firstLine="640" w:firstLineChars="200"/>
        <w:rPr>
          <w:rFonts w:ascii="??_GB2312" w:hAnsi="Cambria" w:eastAsia="Times New Roman" w:cs="ArialUnicodeMS"/>
          <w:kern w:val="0"/>
          <w:sz w:val="32"/>
          <w:szCs w:val="32"/>
        </w:rPr>
      </w:pPr>
    </w:p>
    <w:p>
      <w:pPr>
        <w:widowControl/>
        <w:spacing w:after="0" w:line="560" w:lineRule="exact"/>
        <w:ind w:firstLine="640" w:firstLineChars="200"/>
        <w:rPr>
          <w:rFonts w:ascii="??_GB2312" w:hAnsi="Cambria" w:eastAsia="Times New Roman" w:cs="ArialUnicodeMS"/>
          <w:kern w:val="0"/>
          <w:sz w:val="32"/>
          <w:szCs w:val="32"/>
        </w:rPr>
      </w:pPr>
    </w:p>
    <w:p>
      <w:pPr>
        <w:widowControl/>
        <w:spacing w:after="0" w:line="560" w:lineRule="exact"/>
        <w:ind w:firstLine="640" w:firstLineChars="200"/>
        <w:rPr>
          <w:rFonts w:ascii="??_GB2312" w:hAnsi="Cambria" w:eastAsia="Times New Roman" w:cs="ArialUnicodeMS"/>
          <w:kern w:val="0"/>
          <w:sz w:val="32"/>
          <w:szCs w:val="32"/>
        </w:rPr>
      </w:pPr>
    </w:p>
    <w:p>
      <w:pPr>
        <w:widowControl/>
        <w:spacing w:after="0" w:line="560" w:lineRule="exact"/>
        <w:ind w:firstLine="640" w:firstLineChars="200"/>
        <w:rPr>
          <w:rFonts w:ascii="??_GB2312" w:hAnsi="Cambria" w:eastAsia="Times New Roman" w:cs="ArialUnicodeMS"/>
          <w:kern w:val="0"/>
          <w:sz w:val="32"/>
          <w:szCs w:val="32"/>
        </w:rPr>
      </w:pPr>
    </w:p>
    <w:p>
      <w:pPr>
        <w:widowControl/>
        <w:spacing w:after="0" w:line="560" w:lineRule="exact"/>
        <w:rPr>
          <w:rFonts w:ascii="??_GB2312" w:hAnsi="Cambria" w:eastAsia="Times New Roman" w:cs="ArialUnicodeMS"/>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_GB2312">
    <w:altName w:val="Arial"/>
    <w:panose1 w:val="00000000000000000000"/>
    <w:charset w:val="00"/>
    <w:family w:val="auto"/>
    <w:pitch w:val="default"/>
    <w:sig w:usb0="00000000" w:usb1="00000000" w:usb2="00000000" w:usb3="00000000" w:csb0="00000001" w:csb1="00000000"/>
  </w:font>
  <w:font w:name="ArialUnicodeMS">
    <w:altName w:val="Malgun Gothic"/>
    <w:panose1 w:val="00000000000000000000"/>
    <w:charset w:val="81"/>
    <w:family w:val="auto"/>
    <w:pitch w:val="default"/>
    <w:sig w:usb0="00000000" w:usb1="00000000" w:usb2="00000010" w:usb3="00000000" w:csb0="00080000" w:csb1="00000000"/>
  </w:font>
  <w:font w:name="仿宋">
    <w:panose1 w:val="02010609060101010101"/>
    <w:charset w:val="86"/>
    <w:family w:val="modern"/>
    <w:pitch w:val="default"/>
    <w:sig w:usb0="800002BF" w:usb1="38CF7CFA" w:usb2="00000016"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Arial">
    <w:panose1 w:val="020B0604020202020204"/>
    <w:charset w:val="00"/>
    <w:family w:val="swiss"/>
    <w:pitch w:val="default"/>
    <w:sig w:usb0="E0002EFF" w:usb1="C000785B" w:usb2="00000009" w:usb3="00000000" w:csb0="400001FF" w:csb1="FFFF0000"/>
  </w:font>
  <w:font w:name="DengXian-Regular">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413"/>
    <w:rsid w:val="00020FAF"/>
    <w:rsid w:val="00022474"/>
    <w:rsid w:val="00024E7F"/>
    <w:rsid w:val="000414BA"/>
    <w:rsid w:val="000475A0"/>
    <w:rsid w:val="00067693"/>
    <w:rsid w:val="000838C3"/>
    <w:rsid w:val="000B2446"/>
    <w:rsid w:val="000D6364"/>
    <w:rsid w:val="000D7C65"/>
    <w:rsid w:val="000E2F81"/>
    <w:rsid w:val="000F05D2"/>
    <w:rsid w:val="00101F8D"/>
    <w:rsid w:val="00117946"/>
    <w:rsid w:val="00117E2C"/>
    <w:rsid w:val="00146C47"/>
    <w:rsid w:val="00152FB8"/>
    <w:rsid w:val="00176658"/>
    <w:rsid w:val="0018239E"/>
    <w:rsid w:val="0019237A"/>
    <w:rsid w:val="001B3410"/>
    <w:rsid w:val="001B7503"/>
    <w:rsid w:val="001C030D"/>
    <w:rsid w:val="001C4A84"/>
    <w:rsid w:val="001C5588"/>
    <w:rsid w:val="001E5902"/>
    <w:rsid w:val="00211B13"/>
    <w:rsid w:val="002244E9"/>
    <w:rsid w:val="00233705"/>
    <w:rsid w:val="00246D99"/>
    <w:rsid w:val="00257266"/>
    <w:rsid w:val="00262306"/>
    <w:rsid w:val="00275CA2"/>
    <w:rsid w:val="002A65A5"/>
    <w:rsid w:val="002B31C5"/>
    <w:rsid w:val="002C04C4"/>
    <w:rsid w:val="002C506E"/>
    <w:rsid w:val="002C7EA7"/>
    <w:rsid w:val="002D08B0"/>
    <w:rsid w:val="002D1AE3"/>
    <w:rsid w:val="002F2ECE"/>
    <w:rsid w:val="003079F4"/>
    <w:rsid w:val="00341C8F"/>
    <w:rsid w:val="0035463A"/>
    <w:rsid w:val="003663FA"/>
    <w:rsid w:val="0037179C"/>
    <w:rsid w:val="00391D9D"/>
    <w:rsid w:val="003B6C51"/>
    <w:rsid w:val="003B7959"/>
    <w:rsid w:val="003C1413"/>
    <w:rsid w:val="003C549F"/>
    <w:rsid w:val="003D5A16"/>
    <w:rsid w:val="003E61E7"/>
    <w:rsid w:val="003E7DB3"/>
    <w:rsid w:val="00431175"/>
    <w:rsid w:val="004374A3"/>
    <w:rsid w:val="0044328E"/>
    <w:rsid w:val="004901D7"/>
    <w:rsid w:val="00493686"/>
    <w:rsid w:val="004B6E37"/>
    <w:rsid w:val="004C0BC7"/>
    <w:rsid w:val="004C32BA"/>
    <w:rsid w:val="004C68EF"/>
    <w:rsid w:val="00500CA3"/>
    <w:rsid w:val="00516500"/>
    <w:rsid w:val="005529F7"/>
    <w:rsid w:val="00574086"/>
    <w:rsid w:val="00575922"/>
    <w:rsid w:val="00590E2B"/>
    <w:rsid w:val="005A3C0D"/>
    <w:rsid w:val="005A4201"/>
    <w:rsid w:val="005A6C90"/>
    <w:rsid w:val="005B20FB"/>
    <w:rsid w:val="005B37E6"/>
    <w:rsid w:val="005E3FB0"/>
    <w:rsid w:val="005F4B66"/>
    <w:rsid w:val="005F5208"/>
    <w:rsid w:val="00615C31"/>
    <w:rsid w:val="00641318"/>
    <w:rsid w:val="0064405D"/>
    <w:rsid w:val="00695557"/>
    <w:rsid w:val="006D4EA7"/>
    <w:rsid w:val="006F69D4"/>
    <w:rsid w:val="0070012A"/>
    <w:rsid w:val="0070664B"/>
    <w:rsid w:val="007071B8"/>
    <w:rsid w:val="00712601"/>
    <w:rsid w:val="007155C2"/>
    <w:rsid w:val="007414DE"/>
    <w:rsid w:val="00760C0C"/>
    <w:rsid w:val="00777B1A"/>
    <w:rsid w:val="007905A9"/>
    <w:rsid w:val="007A6A69"/>
    <w:rsid w:val="007B5C0C"/>
    <w:rsid w:val="007D0A6A"/>
    <w:rsid w:val="007D735C"/>
    <w:rsid w:val="007E072B"/>
    <w:rsid w:val="007E5500"/>
    <w:rsid w:val="007F055B"/>
    <w:rsid w:val="007F6C94"/>
    <w:rsid w:val="00811C2F"/>
    <w:rsid w:val="008140D3"/>
    <w:rsid w:val="008239F7"/>
    <w:rsid w:val="00825543"/>
    <w:rsid w:val="00833D46"/>
    <w:rsid w:val="00833F24"/>
    <w:rsid w:val="00836215"/>
    <w:rsid w:val="00840A97"/>
    <w:rsid w:val="00844F84"/>
    <w:rsid w:val="008570BD"/>
    <w:rsid w:val="00872B02"/>
    <w:rsid w:val="00873292"/>
    <w:rsid w:val="008A640A"/>
    <w:rsid w:val="008C0149"/>
    <w:rsid w:val="008D2A9F"/>
    <w:rsid w:val="008D30DC"/>
    <w:rsid w:val="008D5DED"/>
    <w:rsid w:val="008E25CA"/>
    <w:rsid w:val="008F34FC"/>
    <w:rsid w:val="00944CD7"/>
    <w:rsid w:val="00945650"/>
    <w:rsid w:val="00961190"/>
    <w:rsid w:val="009808D3"/>
    <w:rsid w:val="0098284B"/>
    <w:rsid w:val="009831B2"/>
    <w:rsid w:val="0099698B"/>
    <w:rsid w:val="009A1ABE"/>
    <w:rsid w:val="009B15C3"/>
    <w:rsid w:val="009E21A4"/>
    <w:rsid w:val="009F22C6"/>
    <w:rsid w:val="00A07E50"/>
    <w:rsid w:val="00A12C15"/>
    <w:rsid w:val="00A15397"/>
    <w:rsid w:val="00A26EE1"/>
    <w:rsid w:val="00A35CE0"/>
    <w:rsid w:val="00A4462E"/>
    <w:rsid w:val="00A44AA4"/>
    <w:rsid w:val="00A6007C"/>
    <w:rsid w:val="00A61623"/>
    <w:rsid w:val="00A84687"/>
    <w:rsid w:val="00AA0458"/>
    <w:rsid w:val="00AB0A0E"/>
    <w:rsid w:val="00AD3B6E"/>
    <w:rsid w:val="00AF6D31"/>
    <w:rsid w:val="00B12B91"/>
    <w:rsid w:val="00B1751F"/>
    <w:rsid w:val="00B50F96"/>
    <w:rsid w:val="00B557D9"/>
    <w:rsid w:val="00B56722"/>
    <w:rsid w:val="00B67044"/>
    <w:rsid w:val="00B74D39"/>
    <w:rsid w:val="00B827C6"/>
    <w:rsid w:val="00B85101"/>
    <w:rsid w:val="00B91DA4"/>
    <w:rsid w:val="00B930D2"/>
    <w:rsid w:val="00B94778"/>
    <w:rsid w:val="00BA5F46"/>
    <w:rsid w:val="00BA7174"/>
    <w:rsid w:val="00BB55CB"/>
    <w:rsid w:val="00BE1B44"/>
    <w:rsid w:val="00C12630"/>
    <w:rsid w:val="00C21D8D"/>
    <w:rsid w:val="00C34562"/>
    <w:rsid w:val="00C3774E"/>
    <w:rsid w:val="00C5105B"/>
    <w:rsid w:val="00C57456"/>
    <w:rsid w:val="00C65387"/>
    <w:rsid w:val="00C87D21"/>
    <w:rsid w:val="00C87FAB"/>
    <w:rsid w:val="00C91FF7"/>
    <w:rsid w:val="00C92D15"/>
    <w:rsid w:val="00C94E53"/>
    <w:rsid w:val="00CE3FC3"/>
    <w:rsid w:val="00D0048E"/>
    <w:rsid w:val="00D17BD9"/>
    <w:rsid w:val="00D23E7A"/>
    <w:rsid w:val="00D56D8F"/>
    <w:rsid w:val="00D61063"/>
    <w:rsid w:val="00DB35AF"/>
    <w:rsid w:val="00DD72D7"/>
    <w:rsid w:val="00DF5B88"/>
    <w:rsid w:val="00E0589E"/>
    <w:rsid w:val="00E0697F"/>
    <w:rsid w:val="00E241FA"/>
    <w:rsid w:val="00E2595E"/>
    <w:rsid w:val="00E270B9"/>
    <w:rsid w:val="00E35374"/>
    <w:rsid w:val="00E50C19"/>
    <w:rsid w:val="00E64655"/>
    <w:rsid w:val="00E73081"/>
    <w:rsid w:val="00E73BB4"/>
    <w:rsid w:val="00E76C93"/>
    <w:rsid w:val="00E84E15"/>
    <w:rsid w:val="00E856C9"/>
    <w:rsid w:val="00EA4F68"/>
    <w:rsid w:val="00EB3021"/>
    <w:rsid w:val="00EB6A8B"/>
    <w:rsid w:val="00EC6814"/>
    <w:rsid w:val="00ED0D5D"/>
    <w:rsid w:val="00ED411D"/>
    <w:rsid w:val="00EF38C6"/>
    <w:rsid w:val="00F22AE2"/>
    <w:rsid w:val="00F624DA"/>
    <w:rsid w:val="00F66DB1"/>
    <w:rsid w:val="00F679C7"/>
    <w:rsid w:val="00F7711A"/>
    <w:rsid w:val="00F80C72"/>
    <w:rsid w:val="00FA0D58"/>
    <w:rsid w:val="00FA1580"/>
    <w:rsid w:val="00FA34EF"/>
    <w:rsid w:val="00FA56F4"/>
    <w:rsid w:val="00FB4EDA"/>
    <w:rsid w:val="00FD1398"/>
    <w:rsid w:val="00FD3BD5"/>
    <w:rsid w:val="00FE3DC8"/>
    <w:rsid w:val="013F747B"/>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56123EC"/>
    <w:rsid w:val="594329EC"/>
    <w:rsid w:val="5BEE1540"/>
    <w:rsid w:val="5DE61A5D"/>
    <w:rsid w:val="63C04243"/>
    <w:rsid w:val="649C01C7"/>
    <w:rsid w:val="699A3F60"/>
    <w:rsid w:val="72902E62"/>
    <w:rsid w:val="73C61104"/>
    <w:rsid w:val="753A1BF5"/>
    <w:rsid w:val="776452EA"/>
    <w:rsid w:val="7DC663B9"/>
    <w:rsid w:val="7FD210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7"/>
    <w:qFormat/>
    <w:uiPriority w:val="99"/>
    <w:pPr>
      <w:keepNext/>
      <w:keepLines/>
      <w:spacing w:before="260" w:after="260" w:line="416" w:lineRule="auto"/>
      <w:outlineLvl w:val="2"/>
    </w:pPr>
    <w:rPr>
      <w:b/>
      <w:bCs/>
      <w:sz w:val="32"/>
      <w:szCs w:val="32"/>
    </w:rPr>
  </w:style>
  <w:style w:type="paragraph" w:styleId="5">
    <w:name w:val="heading 4"/>
    <w:basedOn w:val="1"/>
    <w:next w:val="1"/>
    <w:link w:val="18"/>
    <w:qFormat/>
    <w:uiPriority w:val="99"/>
    <w:pPr>
      <w:keepNext/>
      <w:keepLines/>
      <w:spacing w:before="280" w:after="290" w:line="376" w:lineRule="auto"/>
      <w:outlineLvl w:val="3"/>
    </w:pPr>
    <w:rPr>
      <w:rFonts w:ascii="Calibri" w:hAnsi="Calibri"/>
      <w:b/>
      <w:bCs/>
      <w:sz w:val="28"/>
      <w:szCs w:val="2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9"/>
    <w:semiHidden/>
    <w:uiPriority w:val="99"/>
    <w:pPr>
      <w:ind w:left="100" w:leftChars="2500"/>
    </w:pPr>
  </w:style>
  <w:style w:type="paragraph" w:styleId="7">
    <w:name w:val="Balloon Text"/>
    <w:basedOn w:val="1"/>
    <w:link w:val="20"/>
    <w:semiHidden/>
    <w:uiPriority w:val="99"/>
    <w:rPr>
      <w:sz w:val="18"/>
      <w:szCs w:val="18"/>
    </w:rPr>
  </w:style>
  <w:style w:type="paragraph" w:styleId="8">
    <w:name w:val="footer"/>
    <w:basedOn w:val="1"/>
    <w:link w:val="21"/>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2"/>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3"/>
    <w:qFormat/>
    <w:uiPriority w:val="99"/>
    <w:pPr>
      <w:widowControl/>
      <w:spacing w:after="200" w:line="276" w:lineRule="auto"/>
      <w:jc w:val="left"/>
    </w:pPr>
    <w:rPr>
      <w:rFonts w:ascii="Calibri" w:hAnsi="Calibri"/>
      <w:i/>
      <w:iCs/>
      <w:color w:val="F0A22E"/>
      <w:spacing w:val="15"/>
      <w:kern w:val="0"/>
      <w:sz w:val="24"/>
    </w:rPr>
  </w:style>
  <w:style w:type="paragraph" w:styleId="11">
    <w:name w:val="Title"/>
    <w:basedOn w:val="1"/>
    <w:next w:val="1"/>
    <w:link w:val="24"/>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3">
    <w:name w:val="Table Grid"/>
    <w:basedOn w:val="12"/>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5">
    <w:name w:val="标题 1 Char"/>
    <w:basedOn w:val="14"/>
    <w:link w:val="2"/>
    <w:locked/>
    <w:uiPriority w:val="99"/>
    <w:rPr>
      <w:rFonts w:ascii="Times New Roman" w:hAnsi="Times New Roman" w:eastAsia="宋体" w:cs="Times New Roman"/>
      <w:b/>
      <w:bCs/>
      <w:kern w:val="44"/>
      <w:sz w:val="44"/>
      <w:szCs w:val="44"/>
    </w:rPr>
  </w:style>
  <w:style w:type="character" w:customStyle="1" w:styleId="16">
    <w:name w:val="标题 2 Char"/>
    <w:basedOn w:val="14"/>
    <w:link w:val="3"/>
    <w:locked/>
    <w:uiPriority w:val="99"/>
    <w:rPr>
      <w:rFonts w:ascii="Calibri" w:hAnsi="Calibri" w:eastAsia="宋体" w:cs="Times New Roman"/>
      <w:b/>
      <w:bCs/>
      <w:sz w:val="32"/>
      <w:szCs w:val="32"/>
    </w:rPr>
  </w:style>
  <w:style w:type="character" w:customStyle="1" w:styleId="17">
    <w:name w:val="标题 3 Char"/>
    <w:basedOn w:val="14"/>
    <w:link w:val="4"/>
    <w:locked/>
    <w:uiPriority w:val="99"/>
    <w:rPr>
      <w:rFonts w:ascii="Times New Roman" w:hAnsi="Times New Roman" w:eastAsia="宋体" w:cs="Times New Roman"/>
      <w:b/>
      <w:bCs/>
      <w:sz w:val="32"/>
      <w:szCs w:val="32"/>
    </w:rPr>
  </w:style>
  <w:style w:type="character" w:customStyle="1" w:styleId="18">
    <w:name w:val="标题 4 Char"/>
    <w:basedOn w:val="14"/>
    <w:link w:val="5"/>
    <w:locked/>
    <w:uiPriority w:val="99"/>
    <w:rPr>
      <w:rFonts w:ascii="Calibri" w:hAnsi="Calibri" w:eastAsia="宋体" w:cs="Times New Roman"/>
      <w:b/>
      <w:bCs/>
      <w:sz w:val="28"/>
      <w:szCs w:val="28"/>
    </w:rPr>
  </w:style>
  <w:style w:type="character" w:customStyle="1" w:styleId="19">
    <w:name w:val="日期 Char"/>
    <w:basedOn w:val="14"/>
    <w:link w:val="6"/>
    <w:semiHidden/>
    <w:locked/>
    <w:uiPriority w:val="99"/>
    <w:rPr>
      <w:rFonts w:ascii="Times New Roman" w:hAnsi="Times New Roman" w:eastAsia="宋体" w:cs="Times New Roman"/>
      <w:sz w:val="24"/>
      <w:szCs w:val="24"/>
    </w:rPr>
  </w:style>
  <w:style w:type="character" w:customStyle="1" w:styleId="20">
    <w:name w:val="批注框文本 Char"/>
    <w:basedOn w:val="14"/>
    <w:link w:val="7"/>
    <w:semiHidden/>
    <w:qFormat/>
    <w:locked/>
    <w:uiPriority w:val="99"/>
    <w:rPr>
      <w:rFonts w:ascii="Times New Roman" w:hAnsi="Times New Roman" w:eastAsia="宋体" w:cs="Times New Roman"/>
      <w:sz w:val="18"/>
      <w:szCs w:val="18"/>
    </w:rPr>
  </w:style>
  <w:style w:type="character" w:customStyle="1" w:styleId="21">
    <w:name w:val="页脚 Char"/>
    <w:basedOn w:val="14"/>
    <w:link w:val="8"/>
    <w:qFormat/>
    <w:locked/>
    <w:uiPriority w:val="99"/>
    <w:rPr>
      <w:rFonts w:cs="Times New Roman"/>
      <w:sz w:val="18"/>
      <w:szCs w:val="18"/>
    </w:rPr>
  </w:style>
  <w:style w:type="character" w:customStyle="1" w:styleId="22">
    <w:name w:val="页眉 Char"/>
    <w:basedOn w:val="14"/>
    <w:link w:val="9"/>
    <w:locked/>
    <w:uiPriority w:val="99"/>
    <w:rPr>
      <w:rFonts w:cs="Times New Roman"/>
      <w:sz w:val="18"/>
      <w:szCs w:val="18"/>
    </w:rPr>
  </w:style>
  <w:style w:type="character" w:customStyle="1" w:styleId="23">
    <w:name w:val="副标题 Char"/>
    <w:basedOn w:val="14"/>
    <w:link w:val="10"/>
    <w:qFormat/>
    <w:locked/>
    <w:uiPriority w:val="99"/>
    <w:rPr>
      <w:rFonts w:ascii="Calibri" w:hAnsi="Calibri" w:eastAsia="宋体" w:cs="Times New Roman"/>
      <w:i/>
      <w:iCs/>
      <w:color w:val="F0A22E"/>
      <w:spacing w:val="15"/>
      <w:kern w:val="0"/>
      <w:sz w:val="24"/>
      <w:szCs w:val="24"/>
    </w:rPr>
  </w:style>
  <w:style w:type="character" w:customStyle="1" w:styleId="24">
    <w:name w:val="标题 Char"/>
    <w:basedOn w:val="14"/>
    <w:link w:val="11"/>
    <w:locked/>
    <w:uiPriority w:val="99"/>
    <w:rPr>
      <w:rFonts w:ascii="Calibri" w:hAnsi="Calibri" w:eastAsia="宋体" w:cs="Times New Roman"/>
      <w:color w:val="3A2C24"/>
      <w:spacing w:val="5"/>
      <w:kern w:val="28"/>
      <w:sz w:val="52"/>
      <w:szCs w:val="52"/>
    </w:rPr>
  </w:style>
  <w:style w:type="paragraph" w:styleId="25">
    <w:name w:val="No Spacing"/>
    <w:link w:val="26"/>
    <w:qFormat/>
    <w:uiPriority w:val="99"/>
    <w:pPr>
      <w:spacing w:after="160" w:line="480" w:lineRule="auto"/>
    </w:pPr>
    <w:rPr>
      <w:rFonts w:ascii="Cambria" w:hAnsi="Cambria" w:eastAsia="黑体" w:cs="Times New Roman"/>
      <w:sz w:val="22"/>
      <w:szCs w:val="22"/>
      <w:lang w:val="en-US" w:eastAsia="zh-CN" w:bidi="ar-SA"/>
    </w:rPr>
  </w:style>
  <w:style w:type="character" w:customStyle="1" w:styleId="26">
    <w:name w:val="无间隔 Char"/>
    <w:basedOn w:val="14"/>
    <w:link w:val="25"/>
    <w:qFormat/>
    <w:locked/>
    <w:uiPriority w:val="99"/>
    <w:rPr>
      <w:rFonts w:ascii="Cambria" w:hAnsi="Cambria" w:eastAsia="黑体"/>
      <w:sz w:val="22"/>
      <w:szCs w:val="22"/>
      <w:lang w:val="en-US" w:eastAsia="zh-CN" w:bidi="ar-SA"/>
    </w:rPr>
  </w:style>
  <w:style w:type="character" w:customStyle="1" w:styleId="27">
    <w:name w:val="Style1"/>
    <w:basedOn w:val="14"/>
    <w:qFormat/>
    <w:uiPriority w:val="99"/>
    <w:rPr>
      <w:rFonts w:ascii="Cambria" w:hAnsi="黑体" w:eastAsia="黑体" w:cs="Times New Roman"/>
      <w:sz w:val="22"/>
      <w:szCs w:val="22"/>
      <w:lang w:eastAsia="zh-CN"/>
    </w:rPr>
  </w:style>
  <w:style w:type="character" w:customStyle="1" w:styleId="28">
    <w:name w:val="Style2"/>
    <w:basedOn w:val="14"/>
    <w:qFormat/>
    <w:uiPriority w:val="99"/>
    <w:rPr>
      <w:rFonts w:ascii="Cambria" w:hAnsi="黑体" w:eastAsia="黑体" w:cs="Times New Roman"/>
      <w:sz w:val="22"/>
      <w:szCs w:val="22"/>
      <w:lang w:eastAsia="zh-CN"/>
    </w:rPr>
  </w:style>
  <w:style w:type="character" w:customStyle="1" w:styleId="29">
    <w:name w:val="Style3"/>
    <w:basedOn w:val="14"/>
    <w:qFormat/>
    <w:uiPriority w:val="99"/>
    <w:rPr>
      <w:rFonts w:ascii="Cambria" w:hAnsi="黑体" w:eastAsia="黑体" w:cs="Times New Roman"/>
      <w:sz w:val="22"/>
      <w:szCs w:val="22"/>
      <w:lang w:eastAsia="zh-CN"/>
    </w:rPr>
  </w:style>
  <w:style w:type="character" w:customStyle="1" w:styleId="30">
    <w:name w:val="Style4"/>
    <w:basedOn w:val="14"/>
    <w:qFormat/>
    <w:uiPriority w:val="99"/>
    <w:rPr>
      <w:rFonts w:ascii="Cambria" w:hAnsi="黑体" w:eastAsia="黑体" w:cs="Times New Roman"/>
      <w:sz w:val="22"/>
      <w:szCs w:val="22"/>
      <w:lang w:eastAsia="zh-CN"/>
    </w:rPr>
  </w:style>
  <w:style w:type="character" w:customStyle="1" w:styleId="31">
    <w:name w:val="Style5"/>
    <w:basedOn w:val="14"/>
    <w:qFormat/>
    <w:uiPriority w:val="99"/>
    <w:rPr>
      <w:rFonts w:ascii="Cambria" w:hAnsi="黑体" w:eastAsia="黑体" w:cs="Times New Roman"/>
      <w:sz w:val="22"/>
      <w:szCs w:val="22"/>
      <w:lang w:eastAsia="zh-CN"/>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1848</Words>
  <Characters>10535</Characters>
  <Lines>87</Lines>
  <Paragraphs>24</Paragraphs>
  <TotalTime>254</TotalTime>
  <ScaleCrop>false</ScaleCrop>
  <LinksUpToDate>false</LinksUpToDate>
  <CharactersWithSpaces>12359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2019-09-27T00:42:00Z</cp:lastPrinted>
  <dcterms:modified xsi:type="dcterms:W3CDTF">2021-05-27T02:04:30Z</dcterms:modified>
  <dc:subject>石家庄市xxx部门</dc:subject>
  <dc:title>2017年度部门决算</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